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(79.9, 88.2)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90.0% (83.9, 93.8)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73.0% (67.6, 77.7)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63.1% (54.8, 70.3)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56.3% (50.3, 61.7)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38.8% (30.8, 46.6)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38.9% (32.8, 44.9)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19.4% (12.9, 27.0)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29.4% (22.7, 36.4)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14.7% (8.8, 22.1)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2026-09-20T20:48:34Z</dcterms:modified>
  <cp:category/>
</cp:coreProperties>
</file>