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(79.8, 88.1)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76.3% (68.5, 82.3)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(61.6, 72.5)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56.3% (47.7, 63.9)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45.7% (39.6, 51.5)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23.6% (16.9, 31.1)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29.0% (23.4, 34.9)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14.4% (8.9, 21.1)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11.8% (7.6, 17.0)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2.1% (0.4, 6.5)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2026-09-20T20:48:34Z</dcterms:modified>
  <cp:category/>
</cp:coreProperties>
</file>