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Disease Control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Response Evaluable Population (N=444)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(N=295)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(N=149)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in Response Evaluable population,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Disease Control Rate (CR + PR + SD ≥8 weeks),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240 (81.4)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102 (68.5)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95% CI (Clopper-Pearson)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(76.4, 85.6)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(60.3, 75.8)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Risk difference TRT − PBO, % (95% CI Wald)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12.9 (4.2, 21.6)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(Cochran-Mantel-Haenszel, stratified)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DCR = subjects with confirmed CBOR of CR, PR, or SD (duration ≥8 weeks from randomisation).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SD duration computed as days between first SD assessment and last OVR record.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Per-arm 95% CI by Clopper-Pearson; stratified CMH p-value (histology × region).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datasets/adam/adrs.parquet, 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2026-09-20T20:48:35Z</dcterms:modified>
  <cp:category/>
</cp:coreProperties>
</file>