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  |  Data cutoff: 2025-01-31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1F3864"/>
        </w:rPr>
        <w:t xml:space="preserve">T-EFF-08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1F3864"/>
        </w:rPr>
        <w:t xml:space="preserve">Overall Survival in Per-Protocol Population (Sensitivity)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Per-Protocol Population (N=412)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2880"/>
        <w:gridCol w:w="2880"/>
      </w:tblGrid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Torivumab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(N=274)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Placebo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(N=138)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Number of subjects (PP), N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274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Events (deaths),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 (57.7)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(78.3)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Censored,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(42.3)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(21.7)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OS, months (95% CI)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20.4 (18.1, 22.9)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15.5 (13.0, 17.5)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Hazard ratio (95% CI), stratified Cox PH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0.573 (0.446, 0.735)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p-value, stratified log-rank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Sensitivity analysis re-running the primary OS analysis on subjects with PPROTFL='Y' (no major protocol deviations).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Stratified Cox PH; stratification factors: histology × region.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Reference: SAP §11 (ITT vs PP sensitivity).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Source: datasets/adam/adtte.parquet WHERE PARAMCD='OS', filtered ADSL.PPROTFL='Y'.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sectPr>
      <w:pgMar w:header="708" w:bottom="1080" w:top="1080" w:right="1152" w:left="1152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2026-09-20T20:48:35Z</dcterms:modified>
  <cp:category/>
</cp:coreProperties>
</file>