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T-MH-01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Medical History by Category and Term (≥ 5% in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6048"/>
        <w:gridCol w:w="2016"/>
        <w:gridCol w:w="201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MEDICAL HISTORY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293 (97.7)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148 (98.7)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Emphysema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(2.3)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Cardiac Arrhythmia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Alcohol Use Disorder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Migraine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Chronic Kidney Disease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(5.0)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PRIMARY DIAGNOSIS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300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(16.7)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Lung Carcinoma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(16.0)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(13.3)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Known Non-Small Cell Lung Cancer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Lung Carcinoma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Known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(7.3)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Lung Carcinoma (Stable)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Primary Lung Malignancy (Controlled)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(3.0)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 (Controlled)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(5.7)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Non-Small Cell Lung Cancer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(5.0)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 (Stable)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(5.3)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(4.7)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medical history terms with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from ADMH.MHCAT ('PRIMARY DIAGNOSIS' = the NSCLC diagnosis; 'MEDICAL HISTORY' = all other conditions).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Term coding is simplified (title-case of verbatim) for the synthetic dataset; real studies should use MedDRA-coded MHDECOD.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datasets/adam/admh.parquet.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2026-09-20T20:49:42Z</dcterms:modified>
  <cp:category/>
</cp:coreProperties>
</file>