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285 (63.5)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(16.3)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(57.9)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treatment exposure (patient-years)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TEAE events (n)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2,673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Exposure-adjusted TEAE rate (events per 100 patient-years)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538.6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650.7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587.6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Exposure-adjusted TEAE rate = TEAE events / total treatment exposure × 100, where exposure (patient-years) = ADSL.TRTDURD (TRTEDT − TRTSDT + 1) summed across the safety population and divided by 365.25. Numerator counts events, not subjects, so a subject with multiple events contributes more than once (SAP §5.5; estimand S2).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2026-09-20T16:31:21Z</dcterms:modified>
  <cp:category/>
</cp:coreProperties>
</file>