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T-AE-07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Deaths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(N=449)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184"/>
        <w:gridCol w:w="1632"/>
        <w:gridCol w:w="1632"/>
        <w:gridCol w:w="1632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(N=224)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(N=449)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deaths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(61.3)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(77.2)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(69.3)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Death on study (within 30 days of last dose)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(52.0)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(71.4)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 (61.7)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Death &gt; 30 days after last dose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(9.3)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(5.8)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Primary cause of death (all deaths)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ADVERSE EVENT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(14.2)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(19.6)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(16.9)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DISEASE PROGRESSION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(48.2)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(44.8)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OTHER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(3.1)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(4.5)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UNKNOWN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(2.7)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(4.9)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(3.8)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All causes of death from SDTM.DD (one record per deceased subject).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On-study = death ≤ 30 days after TRTEDT; late = death &gt; 30 days after TRTEDT.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datasets/adam/adsl.parquet + datasets/sdtm/dd.parquet.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2026-09-20T16:31:23Z</dcterms:modified>
  <cp:category/>
</cp:coreProperties>
</file>