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T-EFF-06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Disease Control Rate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Response Evaluable Population (N=431)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Subjects in Response Evaluable population, 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Control Rate (CR + PR + SD ≥8 weeks), n (%)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181 (82.6)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145 (68.4)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95% CI (Clopper-Pearson)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(77.0, 87.4)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(61.7, 74.6)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difference TRT − PBO, % (95% CI Wald)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14.3 (6.2, 22.3)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 (Cochran-Mantel-Haenszel, stratified)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DCR = subjects with confirmed CBOR of CR, PR, or SD (duration ≥8 weeks from randomisation).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SD duration computed as days between first SD assessment and last OVR record.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Per-arm 95% CI by Clopper-Pearson; stratified CMH p-value (histology × region).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datasets/adam/adrs.parquet, adsl.parquet.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2026-09-20T16:31:19Z</dcterms:modified>
  <cp:category/>
</cp:coreProperties>
</file>