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(N=87)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18.0 (15.8,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12.6 (8.0, 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(80.3, 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(64.2, 90.5)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(63.3, 82.8)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55.5% (36.8, 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51.5% (38.8, 62.8)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13.9% (3.1, 32.8)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2026-09-20T16:31:19Z</dcterms:modified>
  <cp:category/>
</cp:coreProperties>
</file>