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T-EFF-10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Restricted Mean Survival Time — Overall Survival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896"/>
        <w:gridCol w:w="1728"/>
        <w:gridCol w:w="1728"/>
        <w:gridCol w:w="172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Treatment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Restricted Mean OS at τ = 30 months (95% CI)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19.88 (18.61, 21.16)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15.32 (14.09, 16.54)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 TRT − PBO,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4.56 (2.80, 6.33)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 (test of difference)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RMST(τ=30 months) — area under the KM curve up to τ.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τ = 30 months reflects the minimum of arm-specific maximum follow-up (35 mo TRT, ~32 mo PBO at-risk). SAP §13.4 proposes 36 months as the protocol-defined horizon; the 6-month gap is accepted as a permanent structural limitation (AL-06 in qc/VALIDATION-PLAN.md) because lifting τ would require extending the data cutoff and re-cascading the full pipeline. Revisitable only if accrual is extended.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Estimand E1a (SAP §13.4): sensitivity to the proportional-hazards assumption underlying T-EFF-01.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Estimated via survRM2::rmst2() (unadjusted, stratification handled via inverse-probability weighting in the package; same arms as primary).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PARAMCD='OS'.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2026-09-20T16:31:20Z</dcterms:modified>
  <cp:category/>
</cp:coreProperties>
</file>