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Demographic and Baseline Characteristics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1920"/>
        <w:gridCol w:w="1920"/>
        <w:gridCol w:w="192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Characteristic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Age (years)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450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Mean (SD)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(11.2)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63.1 (10.9)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Median (Min, Max)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(45.0, 82.0)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(45.0, 82.0)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&lt;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246 (54.7)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65,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204 (45.3)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Sex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Female,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(40.0)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193 (42.9)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Male,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257 (57.1)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Race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White,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238 (52.9)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64 (28.4)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(24.0)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(26.2)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Black or African American,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(10.2)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American Indian or Alaska Native,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(6.0)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Unknown,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Region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(26.7)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(26.7)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Europe,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105 (46.7)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210 (46.7)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Asia-Pacific,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(20.0)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(20.0)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South America,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Histology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Non-squamous,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(66.2)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152 (67.6)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301 (66.9)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Squamous,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(33.1)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ECOG performance status at baseline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0,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(21.8)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(22.2)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(22.0)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1,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(60.0)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(57.6)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2,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(22.7)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 (20.4)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PD-L1 TPS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High &gt;=50%,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(31.6)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(31.3)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Medium 1-49%,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(62.7)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148 (65.8)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289 (64.2)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Low &lt;1%, n (%)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(4.4)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Percentages based on the number of subjects in each arm with non-missing data.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Region derived from COUNTRY (NA: US/Canada; EU: 7 European countries; APAC: Japan/Korea/Australia; SA: Brazil).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PD-L1 TPS category from ADSL.PDL1CAT.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datasets/adam/adsl.parquet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2026-05-17T00:27:14Z</dcterms:modified>
  <cp:category/>
</cp:coreProperties>
</file>