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1536"/>
        <w:gridCol w:w="1536"/>
        <w:gridCol w:w="153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(any reason)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due to 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Initiation of 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post-baseline tumour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Death before first response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Withdrawal of consent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Operationalises the intercurrent event taxonomy in SAP §13.3.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Subsequent anti-cancer therapy is not simulated in the synthetic CM data (counts = 0). In a real study these would come from ADCM or SDTM.CM with CMCAT='ANTI-CANCER'.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≥ 2 consecutive missed tumour assessments not directly captured in this dataset (counts = 0). Real studies derive this from ADRS gap analysis.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experience multiple IEs and appear in multiple rows.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ADSL, ADRS (PARAMCD='OVR'), SDTM.DS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2026-05-17T00:27:15Z</dcterms:modified>
  <cp:category/>
</cp:coreProperties>
</file>