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21.4 (19.2,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 (12.9, 16.0)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0.576 (0.458, 0.724)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OS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(squamous / non-squamous)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(E1): treatment policy for all intercurrent events. See SAP §13.4.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2026-05-17T00:27:14Z</dcterms:modified>
  <cp:category/>
</cp:coreProperties>
</file>