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Disease Control Rate (CR + PR + SD ≥8 weeks),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182 (82.7)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145 (68.4)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(77.1, 87.5)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(61.7, 74.6)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14.3 (6.3, 22.3)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DCR = subjects with confirmed CBOR of CR, PR, or SD (duration ≥8 weeks from randomisation).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SD duration computed as days between first SD assessment and last OVR record.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p-value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2026-05-17T00:27:16Z</dcterms:modified>
  <cp:category/>
</cp:coreProperties>
</file>