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— ITT Denominator (Sensitivity)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ITT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Responders (confirmed CR/PR),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Non-responders (incl. no post-baseline assessment),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Of which: no post-baseline assessment (composite IE),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(16.2, 31.8)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95% CI per arm (Clopper-Pearson)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(31.8, 44.9)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(9.9, 19.5)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E3a (SAP §13.6) — uses full ITT as denominator (removes implicit selection in Response Evaluable).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Composite IE strategy retained: subjects without any post-baseline tumour assessment are counted as non-responders.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 this dataset, 0 subjects have no post-baseline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test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 (ITT) + adrs.parquet (CBOR).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2026-05-17T00:27:17Z</dcterms:modified>
  <cp:category/>
</cp:coreProperties>
</file>