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T-VS-01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Vital Signs — Mean Change from Baseline at Key Visits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184"/>
        <w:gridCol w:w="2448"/>
        <w:gridCol w:w="2448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Diastolic Blood Pressure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C1D1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 (6.2) (n=225)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 (6.3) 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C4D1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 (12.6) (n=216)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1.5 (13.2) (n=218)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EOT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-0.6 (12.8) (n=142)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 (14.1) (n=168)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Heart Rate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C1D1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 (8.8) (n=225)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 (9.1) 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C4D1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-1.5 (16.2) (n=216)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-1.7 (16.3) (n=218)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EOT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-0.2 (16.5) (n=142)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-2.3 (17.2) (n=168)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Respiratory Rate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C1D1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-0.1 (1.4) (n=225)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 (1.3) 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C4D1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-0.2 (2.7) (n=216)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-0.1 (3.0) (n=218)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EOT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 (3.2) (n=142)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 (2.8) (n=168)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Systolic Blood Pressure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C1D1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 (8.5) (n=225)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 (11.1) 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C4D1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 (19.7) (n=216)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 (20.2) (n=218)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EOT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 (19.6) (n=142)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 (20.6) (n=168)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Temperature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C1D1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 (0.3) (n=225)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 (0.3) 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C4D1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 (0.6) (n=216)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 (0.6) (n=218)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EOT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 (0.5) (n=142)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 (0.6) (n=168)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Weight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C1D1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 (0.0) (n=225)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 (0.1) 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C4D1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-0.5 (0.3) (n=216)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-0.4 (0.3) (n=218)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EOT — Mean (SD)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-1.8 (1.9) (n=142)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-1.4 (1.6) (n=168)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Change from baseline (ADVS.CHG) at C1D1, C4D1, End of Treatment (EOT).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Per-subject baseline = ADVS.BASE (last value with ABLFL='Y').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datasets/adam/advs.parquet.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2026-05-17T00:28:41Z</dcterms:modified>
  <cp:category/>
</cp:coreProperties>
</file>