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Treatment-Emergent AEs by SOC and Preferred Term (≥ 5% in any arm)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760"/>
        <w:gridCol w:w="2160"/>
        <w:gridCol w:w="216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73 (32.4)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71 (31.7)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(15.6)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(13.8)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19 (8.4)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20 (8.9)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109 (48.4)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(42.9)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 (28.9)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(26.8)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23 (10.2)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(7.6)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18 (8.0)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25 (11.2)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18 (8.0)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25 (11.2)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(17.8)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Alopecia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(11.6)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Includes Preferred Terms with incidence ≥ 5% in either arm.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SOC subtotals = distinct subjects with at least one PT in that SOC.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Within SOC, PTs sorted by maximum incidence across arms (descending).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TRTEMFL='Y'.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2026-05-17T08:38:36Z</dcterms:modified>
  <cp:category/>
</cp:coreProperties>
</file>