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30 (13.3)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Endocrine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Neurologic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Dermatologic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the PD-1 inhibitor class (Protocol §7.4).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driven by sponsor AESI MedDRA codelist (raw/codelists/aesi_meddra_pts.csv; 56 PTs across 12 categories).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rule per PT: most PTs are AESI at any grade; selected lab/symptom PTs require Grade&gt;=3 (e.g. ALT/AST, AKI, rash, diarrhoea, pruritus); IRR requires Grade&gt;=2.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is counted once per category regardless of multiple occurrences.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INNER JOIN raw/codelists/aesi_meddra_pts.csv.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2026-05-17T08:38:36Z</dcterms:modified>
  <cp:category/>
</cp:coreProperties>
</file>