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deaths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on study (within 30 days of last dose)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 (61.7)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&gt; 30 days after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cause of death (all deaths)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(44.8)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causes of death from SDTM.DD (one record per deceased subject).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= death ≤ 30 days after TRTEDT; late = death &gt; 30 days after TRTEDT.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2026-05-17T08:38:37Z</dcterms:modified>
  <cp:category/>
</cp:coreProperties>
</file>