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18"/>
          <w:szCs w:val="18"/>
          <w:color w:val="1F3864"/>
        </w:rPr>
        <w:t xml:space="preserve">Celindra Therapeutics (fictional)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888888"/>
        </w:rPr>
        <w:t xml:space="preserve">Protocol TORIVUMAB-NSCLC-301  |  Data cutoff: 2025-01-31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0"/>
          <w:szCs w:val="20"/>
          <w:color w:val="1F3864"/>
        </w:rPr>
        <w:t xml:space="preserve">T-CM-01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true"/>
          <w:u w:val="none"/>
          <w:strike w:val="false"/>
          <w:sz w:val="24"/>
          <w:szCs w:val="24"/>
          <w:color w:val="1F3864"/>
        </w:rPr>
        <w:t xml:space="preserve">Concomitant Medications by Indication Class and Preferred Term (≥5%)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8"/>
          <w:szCs w:val="18"/>
          <w:color w:val="444444"/>
        </w:rPr>
        <w:t xml:space="preserve">Safety Population (N=449)</w:t>
      </w:r>
    </w:p>
    <w:p>
      <w:pPr>
        <w:pStyle w:val="Normal"/>
      </w:pPr>
      <w:r>
        <w:t xml:space="preserve"> </w:t>
      </w:r>
    </w:p>
    <w:tbl xmlns:a="http://schemas.openxmlformats.org/drawingml/2006/main" xmlns:pic="http://schemas.openxmlformats.org/drawingml/2006/picture">
      <w:tblPr>
        <w:tblLayout w:type="fixed"/>
        <w:jc w:val="start"/>
        <w:tblLook w:firstRow="1" w:lastRow="0" w:firstColumn="0" w:lastColumn="0" w:noHBand="0" w:noVBand="1"/>
      </w:tblPr>
      <w:tblGrid>
        <w:gridCol w:w="6048"/>
        <w:gridCol w:w="2016"/>
        <w:gridCol w:w="2016"/>
      </w:tblGrid>
      <w:tr>
        <w:trPr>
          <w:trHeight w:val="360" w:hRule="auto"/>
          <w:tblHeader/>
        </w:trPr>
        <w:tc>
          <w:tcPr>
            <w:tcBorders>
              <w:bottom w:val="single" w:sz="8" w:space="0" w:color="666666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 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Torivumab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(N=225)</w:t>
            </w:r>
          </w:p>
        </w:tc>
        <w:tc>
          <w:tcPr>
            <w:tcBorders>
              <w:bottom w:val="single" w:sz="8" w:space="0" w:color="666666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1F3864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Placebo + Chemotherapy</w:t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br/>
            </w: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FFFFFF"/>
              </w:rPr>
              <w:t xml:space="preserve">(N=224)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8" w:space="0" w:color="666666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Depression / anxiety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122 (54.2)</w:t>
            </w:r>
          </w:p>
        </w:tc>
        <w:tc>
          <w:tcPr>
            <w:tcBorders>
              <w:bottom w:val="single" w:sz="3" w:space="0" w:color="CCCCCC"/>
              <w:top w:val="single" w:sz="8" w:space="0" w:color="666666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118 (52.7)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ESCITALOPRAM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74 (32.9)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65 (29.0)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SERTRALINE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67 (29.8)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Diabetes mellitus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124 (55.1)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125 (55.8)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INSULIN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METFORMIN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76 (33.8)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78 (34.8)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Hyperlipidaemia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133 (59.1)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121 (54.0)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ATORVASTATIN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69 (30.8)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SIMVASTATIN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75 (33.3)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68 (30.4)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Infection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151 (67.1)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148 (66.1)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AMOXICILLIN/CLAVULANATE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79 (35.1)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73 (32.6)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AMOXICILLIN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66 (29.3)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72 (32.1)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LEVOFLOXACIN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70 (31.1)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59 (26.3)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Nausea and vomiting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225 (100.0)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224 (100.0)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TROPISETRON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114 (50.7)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123 (54.9)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METOCLOPRAMIDE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121 (53.8)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108 (48.2)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GRANISETRON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(46.2)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112 (50.0)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ONDANSETRON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111 (49.3)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104 (46.4)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1F3864"/>
              </w:rPr>
              <w:t xml:space="preserve">SUBSEQUENT ANTI-CANCER THERAPY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39 (17.3)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2F2F2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true"/>
                <w:u w:val="none"/>
                <w:strike w:val="false"/>
                <w:sz w:val="18"/>
                <w:szCs w:val="18"/>
                <w:color w:val="000000"/>
              </w:rPr>
              <w:t xml:space="preserve">40 (17.9)</w:t>
            </w:r>
          </w:p>
        </w:tc>
      </w:tr>
      <w:tr>
        <w:trPr>
          <w:trHeight w:val="360" w:hRule="auto"/>
        </w:trPr>
        <w:tc>
          <w:tcPr>
            <w:tcBorders>
              <w:bottom w:val="single" w:sz="3" w:space="0" w:color="CCCCCC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PEMBROLIZUMAB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0 (0.0)</w:t>
            </w:r>
          </w:p>
        </w:tc>
        <w:tc>
          <w:tcPr>
            <w:tcBorders>
              <w:bottom w:val="single" w:sz="3" w:space="0" w:color="CCCCCC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</w:tr>
      <w:tr>
        <w:trPr>
          <w:trHeight w:val="360" w:hRule="auto"/>
        </w:trPr>
        <w:tc>
          <w:tcPr>
            <w:tcBorders>
              <w:bottom w:val="single" w:sz="8" w:space="0" w:color="666666"/>
              <w:top w:val="single" w:sz="3" w:space="0" w:color="CCCCCC"/>
              <w:left w:val="single" w:sz="8" w:space="0" w:color="666666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3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  DOCETAXEL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3" w:space="0" w:color="CCCCCC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24 (10.7)</w:t>
            </w:r>
          </w:p>
        </w:tc>
        <w:tc>
          <w:tcPr>
            <w:tcBorders>
              <w:bottom w:val="single" w:sz="8" w:space="0" w:color="666666"/>
              <w:top w:val="single" w:sz="3" w:space="0" w:color="CCCCCC"/>
              <w:left w:val="single" w:sz="3" w:space="0" w:color="CCCCCC"/>
              <w:right w:val="single" w:sz="8" w:space="0" w:color="666666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</w:pPr>
            <w:r>
              <w:rPr>
                <w:rFonts w:ascii="Arial" w:hAnsi="Arial" w:eastAsia="Arial" w:cs="Arial"/>
                <w:i w:val="false"/>
                <w:b w:val="false"/>
                <w:u w:val="none"/>
                <w:strike w:val="false"/>
                <w:sz w:val="18"/>
                <w:szCs w:val="18"/>
                <w:color w:val="000000"/>
              </w:rPr>
              <w:t xml:space="preserve">8 (3.6)</w:t>
            </w:r>
          </w:p>
        </w:tc>
      </w:tr>
    </w:tbl>
    <w:p>
      <w:pPr>
        <w:pStyle w:val="Normal"/>
      </w:pPr>
      <w:r>
        <w:t xml:space="preserve"> 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Includes preferred terms with on-treatment incidence ≥ 5% in either arm.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Class grouping uses ADCM.CMINDC (curated indication class from the ATC lookup).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On-treatment = ADCM.ONTRTFL='Y' (medication period overlaps TRTSDT..TRTEDT).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false"/>
          <w:b w:val="false"/>
          <w:u w:val="none"/>
          <w:strike w:val="false"/>
          <w:sz w:val="16"/>
          <w:szCs w:val="16"/>
          <w:color w:val="000000"/>
        </w:rPr>
        <w:t xml:space="preserve">Source: datasets/adam/adcm.parquet WHERE ONTRTFL='Y'.</w:t>
      </w:r>
    </w:p>
    <w:p>
      <w:pPr>
        <w:jc w:val="left"/>
        <w:pBdr>
          <w:bottom w:val="none" w:sz="0" w:space="0" w:color="000000"/>
          <w:top w:val="none" w:sz="0" w:space="0" w:color="000000"/>
          <w:left w:val="none" w:sz="0" w:space="0" w:color="000000"/>
          <w:right w:val="none" w:sz="0" w:space="0" w:color="000000"/>
        </w:pBdr>
        <w:spacing w:after="0" w:before="0" w:line="240"/>
        <w:ind w:left="0" w:right="0" w:firstLine="0" w:firstLineChars="0"/>
      </w:pPr>
      <w:r>
        <w:rPr>
          <w:rFonts w:ascii="Arial" w:hAnsi="Arial" w:eastAsia="Arial" w:cs="Arial"/>
          <w:i w:val="true"/>
          <w:b w:val="false"/>
          <w:u w:val="none"/>
          <w:strike w:val="false"/>
          <w:sz w:val="14"/>
          <w:szCs w:val="14"/>
          <w:color w:val="C0392B"/>
        </w:rPr>
        <w:t xml:space="preserve">DRAFT — produced 2026-05-17 — synthetic data, NOT for regulatory submission</w:t>
      </w:r>
    </w:p>
    <w:sectPr>
      <w:pgMar w:header="708" w:bottom="1080" w:top="1080" w:right="1152" w:left="1152" w:footer="708" w:gutter="0"/>
      <w:pgSz w:h="16834" w:w="11909" w:orient="portrait"/>
      <w:type w:val="continuous"/>
      <w:cols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w="http://schemas.openxmlformats.org/wordprocessingml/2006/main">
  <w:zoom w:percent="180"/>
  <w:defaultTabStop w:val="708"/>
  <w:hyphenationZone w:val="425"/>
  <w:compat>
    <w:compatSetting w:name="compatibilityMode" w:uri="http://schemas.microsoft.com/office/word" w:val="15"/>
  </w:compat>
  <w:decimalSymbol w:val=","/>
  <w:listSeparator w:val=";"/>
  <w:evenAndOddHeaders w:val="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lovemore.gakavagmail.com</cp:lastModifiedBy>
  <cp:revision>9</cp:revision>
  <dcterms:created xsi:type="dcterms:W3CDTF">2017-02-28T11:18:00Z</dcterms:created>
  <dcterms:modified xsi:type="dcterms:W3CDTF">2026-05-17T08:40:00Z</dcterms:modified>
  <cp:category/>
</cp:coreProperties>
</file>