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Characteristic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Age (years)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(11.2)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&lt;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 (54.7)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(45.3)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Sex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Female,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257 (57.1)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Race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White,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238 (52.9)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(26.2)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Black or African American,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(10.2)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American Indian or Alaska Native,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Region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(26.7)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Europe,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210 (46.7)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Asia-Pacific,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(20.0)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South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Histology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(33.1)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ECOG performance status at baseline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0,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1,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(57.6)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2,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(20.4)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PD-L1 TPS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High &gt;=50%,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(31.6)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(31.3)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Medium 1-49%,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289 (64.2)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Low &lt;1%, n (%)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the number of subjects in each arm with non-missing data.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Region derived from COUNTRY (NA: US/Canada; EU: 7 European countries; APAC: Japan/Korea/Australia; SA: Brazil).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PD-L1 TPS category from ADSL.PDL1CAT.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2026-05-17T08:38:31Z</dcterms:modified>
  <cp:category/>
</cp:coreProperties>
</file>