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608"/>
        <w:gridCol w:w="1824"/>
        <w:gridCol w:w="1824"/>
        <w:gridCol w:w="182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randomised (ITT)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treated (Safety population)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 (99.8)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Per-Protocol population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208 (92.4)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 (90.7)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412 (91.6)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Treatment status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Completed treatment per protocol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(16.4)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(19.8)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Discontinued treatment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(76.9)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361 (80.2)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Progressive disease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(49.3)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(62.2)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 (55.8)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Withdrawal by subject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Physician decision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Vital status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Died on study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174 (77.3)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312 (69.3)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Percentages based on ITT N per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Discontinuation categories from ADDS.DSCATGY + ADDS.DSDECOD.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appear in only one discontinuation category.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datasets/adam/adds.parquet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2026-05-17T08:38:32Z</dcterms:modified>
  <cp:category/>
</cp:coreProperties>
</file>