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(29.6)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therapy: real counts from ADCM.SUBSQTFL='Y' (added 2026-05-17; raw simulator `16_subsequent_therapy.R`).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assessments: detected from ADRS OVR by gaps &gt; 16 weeks against the scheduled Q6W grid (~6% subjects carry a stochastic 2-3 visit miss episode from `09_tumor_measurements.R`).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SDTM.DS, 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2026-05-17T08:38:33Z</dcterms:modified>
  <cp:category/>
</cp:coreProperties>
</file>