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Overall Survival Analysis (Primary)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Number of subjects, 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Events (deaths),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(61.3)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173 (77.2)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Censored,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(38.7)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(22.8)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OS,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21.4 (19.2, 23.7)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14.8 (12.9, 16.0)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Hazard ratio (95% CI), stratified Cox PH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0.576 (0.458, 0.724)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p-value, stratified log-rank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Median OS estimated by Kaplan-Meier; 95% CI by Brookmeyer-Crowley (log-log).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Hazard ratio from stratified Cox proportional-hazards model.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Stratification factors: histology (squamous / non-squamous) and region (NA / EU / APAC / OTHER).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Primary estimand (E1): treatment policy for all intercurrent events. See SAP §13.4.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PARAMCD='OS'.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2026-05-17T08:38:31Z</dcterms:modified>
  <cp:category/>
</cp:coreProperties>
</file>