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(N=87)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18.0 (15.8,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12.6 (8.0, 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(80.3, 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(64.2, 90.5)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(63.3, 82.8)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55.5% (36.8, 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51.5% (38.8, 62.8)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13.9% (3.1, 32.8)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2026-05-17T08:38:34Z</dcterms:modified>
  <cp:category/>
</cp:coreProperties>
</file>