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Restricted Mean Survival Time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Treatment effect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Restricted Mean OS at τ = 30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19.88 (18.61, 21.16)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15.32 (14.09, 16.54)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 TRT − PBO,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4.56 (2.80, 6.33)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(test of difference)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RMST(τ=30 months) — area under the KM curve up to τ.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30 months reflects the minimum of arm-specific maximum follow-up (35 mo TRT, ~32 mo PBO at-risk). SAP §13.4 proposes 36 months as the protocol-defined horizon; this can be revisited once accrual extends.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E1a (SAP §13.4): sensitivity to the proportional-hazards assumption underlying T-EFF-01.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Estimated via survRM2::rmst2() (unadjusted, stratification handled via inverse-probability weighting in the package; same arms as primary).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2026-05-17T08:38:34Z</dcterms:modified>
  <cp:category/>
</cp:coreProperties>
</file>