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Grade ≥ 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443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Parameter Description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Visit Name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 Units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Reference Range Indicator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Change from Baseline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ADLB records with CTCAE Grade ≥ 3 (ATOXGRN ≥ 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Parameter, Date.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WHERE ATOXGRN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2026-07-19T18:04:21Z</dcterms:modified>
  <cp:category/>
</cp:coreProperties>
</file>