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Serious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30 (13.3)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34 (15.2)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43 (19.2)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Rash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Serious = ADAE.AESER='Y' (sub-criteria: death, hospitalisation, life-threatening, disability, congenital anomaly, other medically important).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SAE PTs included (no incidence cutoff).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AESER='Y'.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2026-07-19T18:03:20Z</dcterms:modified>
  <cp:category/>
</cp:coreProperties>
</file>