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Adverse Events of Special Interest (AESI) by Category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Any AESI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69 (30.7)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 (9.8)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(12.9)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Endocrine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Neurologic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Dermatologic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AESI = pre-specified events of regulatory interest for the PD-1 inhibitor class (Protocol §7.4).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Categories driven by sponsor AESI MedDRA codelist (raw/codelists/aesi_meddra_pts.csv; 56 PTs across 12 categories).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rule per PT: most PTs are AESI at any grade; selected lab/symptom PTs require Grade&gt;=3 (e.g. ALT/AST, AKI, rash, diarrhoea, pruritus); IRR requires Grade&gt;=2.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is counted once per category regardless of multiple occurrences.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INNER JOIN raw/codelists/aesi_meddra_pts.csv.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2026-07-19T18:03:21Z</dcterms:modified>
  <cp:category/>
</cp:coreProperties>
</file>