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Progression-Free Survival Analysis (BICR)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subjects,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events,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172 (76.4)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 (89.3)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Disease progression,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(36.9)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(45.5)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Death without progression,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(39.6)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 (44.2)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(23.6)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PFS,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11.0 (9.6, 13.9)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6.9 (5.6, 8.2)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Hazard ratio (95% CI), stratified Cox PH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0.506 (0.408, 0.629)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p-value, stratified log-rank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Median PFS estimated by Kaplan-Meier; 95% CI by Brookmeyer-Crowley (log-log).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Hazard ratio from stratified Cox proportional-hazards model.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Stratification factors: histology and region (NA / EU / APAC / OTHER).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Primary estimand (E2): hypothetical handling for new anti-cancer therapy and ≥2 consecutive missed assessments (FDA 2018). See SAP §13.5.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PARAMCD='PFS'.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2026-07-19T18:03:09Z</dcterms:modified>
  <cp:category/>
</cp:coreProperties>
</file>