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(Investigator-Assessed)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(N=431)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(N=219)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Confirmed Best Overall Response (CBOR)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 Response (CR),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Partial Response (PR),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(36.5)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(17.0)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Stable Disease (SD),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Progressive Disease (PD),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Not Evaluable (NE),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Objective Response Rate (CR + 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87 (39.7)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(33.2, 46.5)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(13.8, 24.8)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20.9 (12.5, 29.2)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Response Evaluable = ITT with ≥1 post-baseline tumour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Confirmed Best Overall Response (CBOR) per RECIST 1.1 — confirmation requires a second CR/PR ≥28 days after the first with no intervening PD.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for ORR by Clopper-Pearson exact method.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 test: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§13.6 specifies BICR-assessed response; this study simulates only Investigator-assessed RS records.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2026-07-19T18:03:13Z</dcterms:modified>
  <cp:category/>
</cp:coreProperties>
</file>