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T-EFF-09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Overall Survival Landmark Analysis (Sensitivity)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592"/>
        <w:gridCol w:w="1872"/>
        <w:gridCol w:w="1872"/>
        <w:gridCol w:w="1872"/>
        <w:gridCol w:w="1872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Landmark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Difference TRT − PBO (95% CI)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p-value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months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87.9% (82.9, 91.6)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80.3% (74.5, 85.0)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7.6 (0.8, 14.3)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months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75.3% (69.0, 80.4)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60.0% (53.3, 66.1)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15.2 (6.7, 23.8)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months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61.1% (54.3, 67.3)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36.5% (30.1, 42.9)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24.6 (15.5, 33.8)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months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42.2% (35.1, 49.2)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19.9% (14.4, 26.0)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22.4 (13.2, 31.5)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months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28.5% (21.2, 36.2)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15.3% (9.7, 21.9)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13.3 (3.5, 23.0)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0.008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Survival probabilities at fixed landmark months by Kaplan-Meier.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95% CI on the difference via Greenwood SE (sum of arm-specific SEs).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Two-sided p-value: z = diff / SE_diff.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Reference: SAP §11 sensitivity.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PARAMCD='OS'.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2026-07-19T18:03:15Z</dcterms:modified>
  <cp:category/>
</cp:coreProperties>
</file>