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T-EFF-10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Restricted Mean Survival Time — Overall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896"/>
        <w:gridCol w:w="1728"/>
        <w:gridCol w:w="1728"/>
        <w:gridCol w:w="172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Treatment effect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Restricted Mean OS at τ = 30 months (95% CI)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19.88 (18.61, 21.16)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15.32 (14.09, 16.54)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Difference TRT − PBO,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4.56 (2.80, 6.33)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 (test of difference)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RMST(τ=30 months) — area under the KM curve up to τ.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τ = 30 months reflects the minimum of arm-specific maximum follow-up (35 mo TRT, ~32 mo PBO at-risk). SAP §13.4 proposes 36 months as the protocol-defined horizon; the 6-month gap is accepted as a permanent structural limitation (AL-06 in qc/VALIDATION-PLAN.md) because lifting τ would require extending the data cutoff and re-cascading the full pipeline. Revisitable only if accrual is extended.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Estimand E1a (SAP §13.4): sensitivity to the proportional-hazards assumption underlying T-EFF-01.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Estimated via survRM2::rmst2() (unadjusted, stratification handled via inverse-probability weighting in the package; same arms as primary).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2026-07-19T18:03:15Z</dcterms:modified>
  <cp:category/>
</cp:coreProperties>
</file>