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L-AE-03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Listing of Adverse Events Leading to Study Drug Discontinuation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— 397 records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Study Site Identifier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Subject Identifier for the Study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Description of Actual Arm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Sequence Number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Dictionary-Derived Term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Primary System Organ Class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Standard Toxicity Grade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Serious Event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irAE?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Onset 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End 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Day of onset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Outcome of Adverse Event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Action Taken with Study Treatment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0026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NAUSEA NOS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Aspartate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HYPERTHYROIDISM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Hepatobiliary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Alanine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IMMUNE-MEDIATED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Hepatobiliary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IMMUNE-MEDIATED 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ALT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IMMUNE-MEDIATED 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Aspartate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HYPERTHYROIDISM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MACULOPAPULAR 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HYPERTHYROIDISM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HYPERTHYROIDISM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ITCHING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2023-12-10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2024-01-02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AE records where AEACN contains 'WITHDRAWN' (i.e., study drug permanently discontinued).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2026-06-05 — synthetic data, NOT for regulatory submission</w:t>
      </w:r>
    </w:p>
    <w:sectPr>
      <w:pgMar w:header="708" w:bottom="864" w:top="864" w:right="1008" w:left="1008" w:footer="708" w:gutter="0"/>
      <w:pgSz w:h="11909" w:w="16834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2026-06-05T22:25:53Z</dcterms:modified>
  <cp:category/>
</cp:coreProperties>
</file>