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040"/>
        <w:gridCol w:w="1680"/>
        <w:gridCol w:w="1680"/>
        <w:gridCol w:w="16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with ≥ 1 major deviation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(39.6)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(44.9)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(42.2)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Deviation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Eligibility criteria violated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Major deviation = ADDV record with DVCAT='MAJOR'.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the simulator does not generate SDTM.DV / DS protocol-deviation records beyond the single randomised-never-dosed subject. Real studies populate the remaining subcategories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datasets/adam/addv.parquet.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2026-06-05T22:25:12Z</dcterms:modified>
  <cp:category/>
</cp:coreProperties>
</file>