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the 6-month gap is accepted as a permanent structural limitation (AL-06 in qc/VALIDATION-PLAN.md) because lifting τ would require extending the data cutoff and re-cascading the full pipeline. Revisitable only if accrual is extended.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2026-06-05T22:25:15Z</dcterms:modified>
  <cp:category/>
</cp:coreProperties>
</file>