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T-LB-02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Laboratory CTCAE Grade ≥ 3 Worst Post-Baseline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472"/>
        <w:gridCol w:w="2304"/>
        <w:gridCol w:w="2304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Alanine aminotransferase (n with post-baseline grade)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Aspartate aminotransferase (n with post-baseline grade)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Bilirubin total (n with post-baseline grade)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Creatinine (n with post-baseline grade)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Haemoglobin (n with post-baseline grade)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223 (99.6)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223 (99.6)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Neutrophils (n with post-baseline grade)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(45.8)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(46.4)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Worst post-baseline CTCAE grade per subject per parameter.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Grade per CTCAE v5.0 (ADLB.ATOXGRN).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Section header rows show the per-arm denominator (subjects with at least one gradeable post-baseline value for that parameter).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datasets/adam/adlb.parquet (ATOXGRN).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2026-06-05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2026-06-05T22:25:23Z</dcterms:modified>
  <cp:category/>
</cp:coreProperties>
</file>