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T-VS-02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Weight Change Categories — Worst On-Treatment Percent Change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with ≥1 post-baseline weight (N=447)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Weight change category (worst on-treatment)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≥ 20%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10% to 20%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5% to 10%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significant change (±5%)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 (74.9)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5% to 10%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10% to 20%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≥ 20%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Categories applied to per-subject worst (most extreme) post-baseline % change in weight.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Denominators = subjects with at least one post-baseline weight measurement per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datasets/adam/advs.parquet WHERE PARAMCD='WEIGHT'.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2026-06-05T22:34:37Z</dcterms:modified>
  <cp:category/>
</cp:coreProperties>
</file>