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Agentic AI 代表性 DOCX 解析样本</w:t>
      </w:r>
    </w:p>
    <w:p>
      <w:r>
        <w:t>用途：EduFlow Phase 4.1 DOCX parser fixture。该文件包含 Heading 1/2/3、正文、列表、表格、代码样式、引用块和图片。</w:t>
      </w:r>
    </w:p>
    <w:p>
      <w:pPr>
        <w:pStyle w:val="Heading1"/>
      </w:pPr>
      <w:r>
        <w:t>1. Agent 基础结构</w:t>
      </w:r>
    </w:p>
    <w:p>
      <w:r>
        <w:t>Agent 可以理解为 LLM、上下文和工具的组合。解析器需要保持章节层级和段落顺序，不应把目录结构与知识依赖结构混为一谈。</w:t>
      </w:r>
    </w:p>
    <w:p>
      <w:pPr>
        <w:pStyle w:val="Heading2"/>
      </w:pPr>
      <w:r>
        <w:t>1.1 上下文</w:t>
      </w:r>
    </w:p>
    <w:p>
      <w:r>
        <w:t>上下文决定 Agent 在每个决策点能看到什么。它可以包含系统提示词、工具定义、用户消息、模型回复和工具执行结果。</w:t>
      </w:r>
    </w:p>
    <w:p>
      <w:pPr>
        <w:pStyle w:val="Heading3"/>
      </w:pPr>
      <w:r>
        <w:t>1.1.1 上下文窗口</w:t>
      </w:r>
    </w:p>
    <w:p>
      <w:pPr>
        <w:pStyle w:val="ListBullet"/>
      </w:pPr>
      <w:r>
        <w:t>系统提示词定义角色和权限</w:t>
      </w:r>
    </w:p>
    <w:p>
      <w:pPr>
        <w:pStyle w:val="ListBullet"/>
      </w:pPr>
      <w:r>
        <w:t>工具定义暴露可用动作空间</w:t>
      </w:r>
    </w:p>
    <w:p>
      <w:pPr>
        <w:pStyle w:val="ListBullet"/>
      </w:pPr>
      <w:r>
        <w:t>轨迹记录历史消息和工具结果</w:t>
      </w:r>
    </w:p>
    <w:p>
      <w:pPr>
        <w:pStyle w:val="Heading1"/>
      </w:pPr>
      <w:r>
        <w:t>2. 工具调用</w:t>
      </w:r>
    </w:p>
    <w:p>
      <w:r>
        <w:t>工具调用把文本模型连接到外部世界。模型输出结构化 tool_calls，Harness 校验并执行。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概念</w:t>
            </w:r>
          </w:p>
        </w:tc>
        <w:tc>
          <w:tcPr>
            <w:tcW w:type="dxa" w:w="3312"/>
          </w:tcPr>
          <w:p>
            <w:r>
              <w:t>作用</w:t>
            </w:r>
          </w:p>
        </w:tc>
        <w:tc>
          <w:tcPr>
            <w:tcW w:type="dxa" w:w="3312"/>
          </w:tcPr>
          <w:p>
            <w:r>
              <w:t>解析关注点</w:t>
            </w:r>
          </w:p>
        </w:tc>
      </w:tr>
      <w:tr>
        <w:tc>
          <w:tcPr>
            <w:tcW w:type="dxa" w:w="3312"/>
          </w:tcPr>
          <w:p>
            <w:r>
              <w:t>Tool Schema</w:t>
            </w:r>
          </w:p>
        </w:tc>
        <w:tc>
          <w:tcPr>
            <w:tcW w:type="dxa" w:w="3312"/>
          </w:tcPr>
          <w:p>
            <w:r>
              <w:t>描述工具参数</w:t>
            </w:r>
          </w:p>
        </w:tc>
        <w:tc>
          <w:tcPr>
            <w:tcW w:type="dxa" w:w="3312"/>
          </w:tcPr>
          <w:p>
            <w:r>
              <w:t>表格单元格顺序</w:t>
            </w:r>
          </w:p>
        </w:tc>
      </w:tr>
      <w:tr>
        <w:tc>
          <w:tcPr>
            <w:tcW w:type="dxa" w:w="3312"/>
          </w:tcPr>
          <w:p>
            <w:r>
              <w:t>Tool Result</w:t>
            </w:r>
          </w:p>
        </w:tc>
        <w:tc>
          <w:tcPr>
            <w:tcW w:type="dxa" w:w="3312"/>
          </w:tcPr>
          <w:p>
            <w:r>
              <w:t>返回环境观察</w:t>
            </w:r>
          </w:p>
        </w:tc>
        <w:tc>
          <w:tcPr>
            <w:tcW w:type="dxa" w:w="3312"/>
          </w:tcPr>
          <w:p>
            <w:r>
              <w:t>跨行文本保留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检查工具调用是否安全</w:t>
            </w:r>
          </w:p>
        </w:tc>
        <w:tc>
          <w:tcPr>
            <w:tcW w:type="dxa" w:w="3312"/>
          </w:tcPr>
          <w:p>
            <w:r>
              <w:t>术语中英混排</w:t>
            </w:r>
          </w:p>
        </w:tc>
      </w:tr>
    </w:tbl>
    <w:p>
      <w:pPr>
        <w:pStyle w:val="Heading1"/>
      </w:pPr>
      <w:r>
        <w:t>3. ReAct 代码片段</w:t>
      </w:r>
    </w:p>
    <w:p>
      <w:r>
        <w:rPr>
          <w:rFonts w:ascii="Courier New" w:hAnsi="Courier New" w:eastAsia="Courier New"/>
          <w:sz w:val="18"/>
        </w:rPr>
        <w:t>trajectory = [user_task]</w:t>
        <w:br/>
        <w:t>while True:</w:t>
        <w:br/>
        <w:t xml:space="preserve">    decision = model(trajectory)</w:t>
        <w:br/>
        <w:t xml:space="preserve">    if decision.final:</w:t>
        <w:br/>
        <w:t xml:space="preserve">        break</w:t>
        <w:br/>
        <w:t xml:space="preserve">    trajectory.append(run_tool(decision.tool_call))</w:t>
      </w:r>
    </w:p>
    <w:p>
      <w:pPr>
        <w:pStyle w:val="IntenseQuote"/>
      </w:pPr>
      <w:r>
        <w:t>引用：Harness 的价值在于把模型能力约束到可验证、可恢复的执行闭环中。</w:t>
      </w:r>
    </w:p>
    <w:p>
      <w:r>
        <w:drawing>
          <wp:inline xmlns:a="http://schemas.openxmlformats.org/drawingml/2006/main" xmlns:pic="http://schemas.openxmlformats.org/drawingml/2006/picture">
            <wp:extent cx="5303520" cy="2677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environment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图：Agent 与 Environment 边界示例，来自 canonical corpus 的图 1-1。</w:t>
      </w:r>
    </w:p>
    <w:p>
      <w:r>
        <w:br w:type="page"/>
      </w:r>
    </w:p>
    <w:p>
      <w:pPr>
        <w:pStyle w:val="Heading1"/>
      </w:pPr>
      <w:r>
        <w:t>4. DOCX 页面语义说明</w:t>
      </w:r>
    </w:p>
    <w:p>
      <w:r>
        <w:t>DOCX 通常没有稳定的源页码语义。EduFlow 不应凭空伪造 page number；如果 Docling 无法给出可靠页面定位，应使用 sectionId、blockIndex 和结构顺序进行追溯。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