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Start w:id="64" w:name="Xa0fbbff55b6c7ecc95ab96155dadf84c6c1e5ae"/>
    <w:p>
      <w:pPr>
        <w:pStyle w:val="Heading1"/>
      </w:pPr>
      <w:r>
        <w:t xml:space="preserve">Architectural Overview Report: Canton Reference Decentralized Exchange (DEX)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#1 of four — see the suite-level view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0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reference, not 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1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2">
        <w:r>
          <w:rPr>
            <w:rStyle w:val="VerbatimChar"/>
          </w:rPr>
          <w:t xml:space="preserve">../../M2_DEX_SCOPE.md</w:t>
        </w:r>
      </w:hyperlink>
      <w:r>
        <w:t xml:space="preserve">): this is</w:t>
      </w:r>
      <w:r>
        <w:t xml:space="preserve"> </w:t>
      </w:r>
      <w:r>
        <w:rPr>
          <w:b/>
          <w:bCs/>
        </w:rPr>
        <w:t xml:space="preserve">RI #1</w:t>
      </w:r>
      <w:r>
        <w:rPr>
          <w:b/>
          <w:bCs/>
        </w:rPr>
        <w:t xml:space="preserve"> </w:t>
      </w:r>
      <w:r>
        <w:rPr>
          <w:b/>
          <w:bCs/>
        </w:rPr>
        <w:t xml:space="preserve">(Privacy-Preserving DEX)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Architecture 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 the DEX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M2</w:t>
      </w:r>
      <w:r>
        <w:t xml:space="preserve"> </w:t>
      </w:r>
      <w:r>
        <w:t xml:space="preserve">(Q2 2026). Its companion deliverables —</w:t>
      </w:r>
      <w:r>
        <w:t xml:space="preserve"> </w:t>
      </w:r>
      <w:r>
        <w:t xml:space="preserve">working reference code, demo front-end, threat model, and "how to build DeFi</w:t>
      </w:r>
      <w:r>
        <w:t xml:space="preserve"> </w:t>
      </w:r>
      <w:r>
        <w:t xml:space="preserve">on Canton" educational materials — are</w:t>
      </w:r>
      <w:r>
        <w:t xml:space="preserve"> </w:t>
      </w:r>
      <w:r>
        <w:rPr>
          <w:b/>
          <w:bCs/>
        </w:rPr>
        <w:t xml:space="preserve">named here but delivered in M2</w:t>
      </w:r>
      <w:r>
        <w:t xml:space="preserve"> </w:t>
      </w:r>
      <w:r>
        <w:t xml:space="preserve">(MIT-licensed). The report honors the</w:t>
      </w:r>
      <w:r>
        <w:t xml:space="preserve"> </w:t>
      </w:r>
      <w:r>
        <w:rPr>
          <w:b/>
          <w:bCs/>
        </w:rPr>
        <w:t xml:space="preserve">CIP-56 → CIP-0112 / Token Standard V2</w:t>
      </w:r>
      <w:r>
        <w:rPr>
          <w:b/>
          <w:bCs/>
        </w:rPr>
        <w:t xml:space="preserve"> </w:t>
      </w:r>
      <w:r>
        <w:rPr>
          <w:b/>
          <w:bCs/>
        </w:rPr>
        <w:t xml:space="preserve">retarget</w:t>
      </w:r>
      <w:r>
        <w:t xml:space="preserve">: CIP-56 is superseded; the DEX builds only on V2 abstractions.</w:t>
      </w:r>
    </w:p>
    <w:p>
      <w:r>
        <w:pict>
          <v:rect style="width:0;height:1.5pt" o:hralign="center" o:hrstd="t" o:hr="t"/>
        </w:pict>
      </w:r>
    </w:p>
    <w:bookmarkStart w:id="16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The Reference Implementation (RI) documented here is an open-source, fully</w:t>
      </w:r>
      <w:r>
        <w:t xml:space="preserve"> </w:t>
      </w:r>
      <w:r>
        <w:t xml:space="preserve">functional Decentralized Exchange (DEX) engineered for the Canton Network.</w:t>
      </w:r>
      <w:r>
        <w:t xml:space="preserve"> </w:t>
      </w:r>
      <w:r>
        <w:t xml:space="preserve">Drawing on prior architectural experience deploying privacy-preserving DeFi</w:t>
      </w:r>
      <w:r>
        <w:t xml:space="preserve"> </w:t>
      </w:r>
      <w:r>
        <w:t xml:space="preserve">primitives (e.g. the LunarSwap design on Midnight), this RI demonstrates the</w:t>
      </w:r>
      <w:r>
        <w:t xml:space="preserve"> </w:t>
      </w:r>
      <w:r>
        <w:t xml:space="preserve">full lifecycle of a trading venue operating under institutional compliance,</w:t>
      </w:r>
      <w:r>
        <w:t xml:space="preserve"> </w:t>
      </w:r>
      <w:r>
        <w:t xml:space="preserve">privacy, and asset-segregation constraints. The objective is a readable,</w:t>
      </w:r>
      <w:r>
        <w:t xml:space="preserve"> </w:t>
      </w:r>
      <w:r>
        <w:t xml:space="preserve">verifiable, forkable foundation that ecosystem developers can use to construct</w:t>
      </w:r>
      <w:r>
        <w:t xml:space="preserve"> </w:t>
      </w:r>
      <w:r>
        <w:t xml:space="preserve">exchange variations, from Automated Market Makers (AMMs) to Central Limit Order</w:t>
      </w:r>
      <w:r>
        <w:t xml:space="preserve"> </w:t>
      </w:r>
      <w:r>
        <w:t xml:space="preserve">Books (CLOBs).</w:t>
      </w:r>
    </w:p>
    <w:p>
      <w:pPr>
        <w:pStyle w:val="BodyText"/>
      </w:pPr>
      <w:r>
        <w:t xml:space="preserve">The architecture is built on the</w:t>
      </w:r>
      <w:r>
        <w:t xml:space="preserve"> </w:t>
      </w:r>
      <w:r>
        <w:rPr>
          <w:b/>
          <w:bCs/>
        </w:rPr>
        <w:t xml:space="preserve">CIP-0112 / Token Standard V2 settlement</w:t>
      </w:r>
      <w:r>
        <w:rPr>
          <w:b/>
          <w:bCs/>
        </w:rPr>
        <w:t xml:space="preserve"> </w:t>
      </w:r>
      <w:r>
        <w:rPr>
          <w:b/>
          <w:bCs/>
        </w:rPr>
        <w:t xml:space="preserve">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OpenZeppelin.Experimental.Settlement.Cip112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). Anchoring the DEX to this standardized</w:t>
      </w:r>
      <w:r>
        <w:t xml:space="preserve"> </w:t>
      </w:r>
      <w:r>
        <w:t xml:space="preserve">settlement infrastructure ensures that asset reservations, atomic swaps, and</w:t>
      </w:r>
      <w:r>
        <w:t xml:space="preserve"> </w:t>
      </w:r>
      <w:r>
        <w:t xml:space="preserve">liquidity mechanics execute via standardized allocation and settlement</w:t>
      </w:r>
      <w:r>
        <w:t xml:space="preserve"> </w:t>
      </w:r>
      <w:r>
        <w:t xml:space="preserve">contracts, eliminating any custom, siloed off-ledger balance sheet.</w:t>
      </w:r>
    </w:p>
    <w:bookmarkStart w:id="13" w:name="operational-scope-and-boundaries"/>
    <w:p>
      <w:pPr>
        <w:pStyle w:val="Heading3"/>
      </w:pPr>
      <w:r>
        <w:t xml:space="preserve">Operational Scope and Boundaries</w:t>
      </w:r>
    </w:p>
    <w:p>
      <w:pPr>
        <w:pStyle w:val="FirstParagraph"/>
      </w:pPr>
      <w:r>
        <w:t xml:space="preserve">The RI is deliberately bounded. The scope bias is</w:t>
      </w:r>
      <w:r>
        <w:t xml:space="preserve"> </w:t>
      </w:r>
      <w:r>
        <w:rPr>
          <w:b/>
          <w:bCs/>
        </w:rPr>
        <w:t xml:space="preserve">simplicity and modular</w:t>
      </w:r>
      <w:r>
        <w:rPr>
          <w:b/>
          <w:bCs/>
        </w:rPr>
        <w:t xml:space="preserve"> </w:t>
      </w:r>
      <w:r>
        <w:rPr>
          <w:b/>
          <w:bCs/>
        </w:rPr>
        <w:t xml:space="preserve">extensibility over complexity</w:t>
      </w:r>
      <w:r>
        <w:t xml:space="preserve">: ship the small, obviously-correct core and name</w:t>
      </w:r>
      <w:r>
        <w:t xml:space="preserve"> </w:t>
      </w:r>
      <w:r>
        <w:t xml:space="preserve">everything else as an explicit extension point or out-of-scope.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In-Scope Architectural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Structure</w:t>
            </w:r>
          </w:p>
        </w:tc>
        <w:tc>
          <w:tcPr/>
          <w:p>
            <w:pPr>
              <w:pStyle w:val="Compact"/>
            </w:pPr>
            <w:r>
              <w:t xml:space="preserve">A simple</w:t>
            </w:r>
            <w:r>
              <w:t xml:space="preserve"> </w:t>
            </w:r>
            <w:r>
              <w:rPr>
                <w:b/>
                <w:bCs/>
              </w:rPr>
              <w:t xml:space="preserve">spot</w:t>
            </w:r>
            <w:r>
              <w:t xml:space="preserve"> </w:t>
            </w:r>
            <w:r>
              <w:t xml:space="preserve">exchange. The primary reference is a constant-product AMM with a single liquidity pool (</w:t>
            </w:r>
            <w:r>
              <w:rPr>
                <w:rStyle w:val="VerbatimChar"/>
              </w:rPr>
              <w:t xml:space="preserve">x · y = k</w:t>
            </w:r>
            <w:r>
              <w:t xml:space="preserve">) to establish a spot price. The CLOB variation is described as a</w:t>
            </w:r>
            <w:r>
              <w:t xml:space="preserve"> </w:t>
            </w:r>
            <w:r>
              <w:rPr>
                <w:i/>
                <w:iCs/>
              </w:rPr>
              <w:t xml:space="preserve">parameterization</w:t>
            </w:r>
            <w:r>
              <w:t xml:space="preserve"> </w:t>
            </w:r>
            <w:r>
              <w:t xml:space="preserve">of the same settlement 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Flows</w:t>
            </w:r>
          </w:p>
        </w:tc>
        <w:tc>
          <w:tcPr/>
          <w:p>
            <w:pPr>
              <w:pStyle w:val="Compact"/>
            </w:pPr>
            <w:r>
              <w:t xml:space="preserve">The four flows the grant M2 acceptance names, each modeled as settlement over the spine:</w:t>
            </w:r>
            <w:r>
              <w:t xml:space="preserve"> </w:t>
            </w:r>
            <w:r>
              <w:rPr>
                <w:b/>
                <w:bCs/>
              </w:rPr>
              <w:t xml:space="preserve">pool creation</w:t>
            </w:r>
            <w:r>
              <w:t xml:space="preserve"> </w:t>
            </w:r>
            <w:r>
              <w:t xml:space="preserve">(operator + LP registrar + attestor pool instantiate a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liquidity provision / removal</w:t>
            </w:r>
            <w:r>
              <w:t xml:space="preserve"> </w:t>
            </w:r>
            <w:r>
              <w:t xml:space="preserve">(deposit both instruments → mint LP tokens; burn LP tokens → withdraw proportional reserves),</w:t>
            </w:r>
            <w:r>
              <w:t xml:space="preserve"> </w:t>
            </w:r>
            <w:r>
              <w:rPr>
                <w:b/>
                <w:bCs/>
              </w:rPr>
              <w:t xml:space="preserve">swap execution</w:t>
            </w:r>
            <w:r>
              <w:t xml:space="preserve"> </w:t>
            </w:r>
            <w:r>
              <w:t xml:space="preserve">(two-leg DvP), and</w:t>
            </w:r>
            <w:r>
              <w:t xml:space="preserve"> </w:t>
            </w:r>
            <w:r>
              <w:rPr>
                <w:b/>
                <w:bCs/>
              </w:rPr>
              <w:t xml:space="preserve">fee collection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feeBps</w:t>
            </w:r>
            <w:r>
              <w:t xml:space="preserve"> </w:t>
            </w:r>
            <w:r>
              <w:t xml:space="preserve">accrues into reserves, raising LP-token redemption value).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Representation</w:t>
            </w:r>
          </w:p>
        </w:tc>
        <w:tc>
          <w:tcPr/>
          <w:p>
            <w:pPr>
              <w:pStyle w:val="Compact"/>
            </w:pPr>
            <w:r>
              <w:t xml:space="preserve">Fungible digital assets compliant with the CIP-0112 Token Standard V2 holding interfaces. LP tokens represent pool-share ownership and are minted/burned via the spine.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Mechanics</w:t>
            </w:r>
          </w:p>
        </w:tc>
        <w:tc>
          <w:tcPr/>
          <w:p>
            <w:pPr>
              <w:pStyle w:val="Compact"/>
            </w:pPr>
            <w:r>
              <w:t xml:space="preserve">Atomic delivery-versus-payment (DvP) executed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. The design uses committed allocations and the</w:t>
            </w:r>
            <w:r>
              <w:t xml:space="preserve"> </w:t>
            </w:r>
            <w:r>
              <w:rPr>
                <w:rStyle w:val="VerbatimChar"/>
              </w:rPr>
              <w:t xml:space="preserve">nextIterationFunding</w:t>
            </w:r>
            <w:r>
              <w:t xml:space="preserve"> </w:t>
            </w:r>
            <w:r>
              <w:t xml:space="preserve">field to support prefunded trading and partial fills.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Control</w:t>
            </w:r>
          </w:p>
        </w:tc>
        <w:tc>
          <w:tcPr/>
          <w:p>
            <w:pPr>
              <w:pStyle w:val="Compact"/>
            </w:pPr>
            <w:r>
              <w:t xml:space="preserve">D1 node-applied compliance checking on every settlement leg (Shape B). D2 lock-and-sweep seizure gated by a single-admin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. D3 single-domain v1 issuer-held KYC, forward-compatible with cross-domain models via SCU conventions.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Topology</w:t>
            </w:r>
          </w:p>
        </w:tc>
        <w:tc>
          <w:tcPr/>
          <w:p>
            <w:pPr>
              <w:pStyle w:val="Compact"/>
            </w:pPr>
            <w:r>
              <w:t xml:space="preserve">Explicit multi-party signatory configuration: a decentralized attestor pool co-authorizes liquidity-pool state transitions, validating trading logic without centralizing execution authority.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Integration</w:t>
            </w:r>
          </w:p>
        </w:tc>
        <w:tc>
          <w:tcPr/>
          <w:p>
            <w:pPr>
              <w:pStyle w:val="Compact"/>
            </w:pPr>
            <w:r>
              <w:t xml:space="preserve">Direct reuse of</w:t>
            </w:r>
            <w:r>
              <w:t xml:space="preserve"> </w:t>
            </w:r>
            <w:r>
              <w:rPr>
                <w:rStyle w:val="VerbatimChar"/>
              </w:rPr>
              <w:t xml:space="preserve">oz-access-control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oz-ownable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oz-pausable</w:t>
            </w:r>
            <w:r>
              <w:t xml:space="preserve">, the CIP-0112 settlement spine, and evidence patterns from</w:t>
            </w:r>
            <w:r>
              <w:t xml:space="preserve"> </w:t>
            </w:r>
            <w:r>
              <w:rPr>
                <w:rStyle w:val="VerbatimChar"/>
              </w:rPr>
              <w:t xml:space="preserve">canton-token-template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canton-stablecoin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zk-credential-gateway</w:t>
            </w:r>
            <w:r>
              <w:t xml:space="preserve">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Out-of-Scope Architectural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 Instruments</w:t>
            </w:r>
          </w:p>
        </w:tc>
        <w:tc>
          <w:tcPr/>
          <w:p>
            <w:pPr>
              <w:pStyle w:val="Compact"/>
            </w:pPr>
            <w:r>
              <w:t xml:space="preserve">Perpetuals, futures, traditional options, and any synthetic asset deriving value from an external non-spot reference. Spot trading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Facilities</w:t>
            </w:r>
          </w:p>
        </w:tc>
        <w:tc>
          <w:tcPr/>
          <w:p>
            <w:pPr>
              <w:pStyle w:val="Compact"/>
            </w:pPr>
            <w:r>
              <w:t xml:space="preserve">Margin trading, undercollateralized lending, dynamic funding rates, and any protocol-enshrined leverage.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Oracles</w:t>
            </w:r>
          </w:p>
        </w:tc>
        <w:tc>
          <w:tcPr/>
          <w:p>
            <w:pPr>
              <w:pStyle w:val="Compact"/>
            </w:pPr>
            <w:r>
              <w:t xml:space="preserve">Dynamic pricing oracles dictating the pool's internal exchange rate. The AMM invariant dictates the price;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is referenced only for boundary analysis or future stable-pool deviation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Standards</w:t>
            </w:r>
          </w:p>
        </w:tc>
        <w:tc>
          <w:tcPr/>
          <w:p>
            <w:pPr>
              <w:pStyle w:val="Compact"/>
            </w:pPr>
            <w:r>
              <w:t xml:space="preserve">Any reliance on the superseded CIP-56 token standard or legacy V1 allocation paths. The RI operates strictly on V2 abstractions.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Cross-Synchronizer Operation</w:t>
            </w:r>
          </w:p>
        </w:tc>
        <w:tc>
          <w:tcPr/>
          <w:p>
            <w:pPr>
              <w:pStyle w:val="Compact"/>
            </w:pPr>
            <w:r>
              <w:t xml:space="preserve">Multi-synchronizer / cross-domain settlement and identity are</w:t>
            </w:r>
            <w:r>
              <w:t xml:space="preserve"> </w:t>
            </w: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(see §8). M1 is single-domain v1; the design is forward-compatible, not multi-domain today.</w:t>
            </w:r>
          </w:p>
        </w:tc>
      </w:tr>
    </w:tbl>
    <w:bookmarkEnd w:id="13"/>
    <w:bookmarkStart w:id="14" w:name="target-ecosystem-participants"/>
    <w:p>
      <w:pPr>
        <w:pStyle w:val="Heading3"/>
      </w:pPr>
      <w:r>
        <w:t xml:space="preserve">Target Ecosystem Participants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 Architects and Engineers</w:t>
      </w:r>
      <w:r>
        <w:t xml:space="preserve"> </w:t>
      </w:r>
      <w:r>
        <w:t xml:space="preserve">— fork the codebase to deploy</w:t>
      </w:r>
      <w:r>
        <w:t xml:space="preserve"> </w:t>
      </w:r>
      <w:r>
        <w:t xml:space="preserve">proprietary trading venues or advanced AMM curves, studying verifiable</w:t>
      </w:r>
      <w:r>
        <w:t xml:space="preserve"> </w:t>
      </w:r>
      <w:r>
        <w:t xml:space="preserve">workflow boundaries.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Institutional DEX Operators</w:t>
      </w:r>
      <w:r>
        <w:t xml:space="preserve"> </w:t>
      </w:r>
      <w:r>
        <w:t xml:space="preserve">— regulated entities establishing compliant</w:t>
      </w:r>
      <w:r>
        <w:t xml:space="preserve"> </w:t>
      </w:r>
      <w:r>
        <w:t xml:space="preserve">trading facilities that require access controls, KYC identity gating, and</w:t>
      </w:r>
      <w:r>
        <w:t xml:space="preserve"> </w:t>
      </w:r>
      <w:r>
        <w:t xml:space="preserve">D2 asset-seizure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Wallet and Client Integrators</w:t>
      </w:r>
      <w:r>
        <w:t xml:space="preserve"> </w:t>
      </w:r>
      <w:r>
        <w:t xml:space="preserve">— validate user submission flows against a</w:t>
      </w:r>
      <w:r>
        <w:t xml:space="preserve"> </w:t>
      </w:r>
      <w:r>
        <w:t xml:space="preserve">working decentralized application implementing two-step handshakes and</w:t>
      </w:r>
      <w:r>
        <w:t xml:space="preserve"> </w:t>
      </w:r>
      <w:r>
        <w:t xml:space="preserve">per-party allocation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and Assurance Auditors</w:t>
      </w:r>
      <w:r>
        <w:t xml:space="preserve"> </w:t>
      </w:r>
      <w:r>
        <w:t xml:space="preserve">— evaluate explicit authority boundaries,</w:t>
      </w:r>
      <w:r>
        <w:t xml:space="preserve"> </w:t>
      </w:r>
      <w:r>
        <w:t xml:space="preserve">the Daml SCU upgrade narrative, and the validation 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daml-lint → daml-props → daml-verify</w:t>
      </w:r>
      <w:r>
        <w:t xml:space="preserve">) when assessing readiness.</w:t>
      </w:r>
    </w:p>
    <w:bookmarkEnd w:id="14"/>
    <w:bookmarkStart w:id="15" w:name="Xc2650274e62951b1b6070c2e0dba41c167ef3eb"/>
    <w:p>
      <w:pPr>
        <w:pStyle w:val="Heading3"/>
      </w:pPr>
      <w:r>
        <w:t xml:space="preserve">Educational Framing: How to Think About Building a DEX on Canton</w:t>
      </w:r>
    </w:p>
    <w:p>
      <w:pPr>
        <w:pStyle w:val="FirstParagraph"/>
      </w:pPr>
      <w:r>
        <w:t xml:space="preserve">Moving from an EVM ecosystem to Canton requires a paradigm shift in state</w:t>
      </w:r>
      <w:r>
        <w:t xml:space="preserve"> </w:t>
      </w:r>
      <w:r>
        <w:t xml:space="preserve">management, privacy boundaries, and consensus topology.</w:t>
      </w:r>
    </w:p>
    <w:p>
      <w:pPr>
        <w:pStyle w:val="BodyText"/>
      </w:pPr>
      <w:r>
        <w:t xml:space="preserve">In traditional EVM AMMs, smart contracts are autonomous, globally visible state</w:t>
      </w:r>
      <w:r>
        <w:t xml:space="preserve"> </w:t>
      </w:r>
      <w:r>
        <w:t xml:space="preserve">machines holding aggregate pool balances. A single trader transaction</w:t>
      </w:r>
      <w:r>
        <w:t xml:space="preserve"> </w:t>
      </w:r>
      <w:r>
        <w:t xml:space="preserve">sequentially updates this global state, with all network nodes validating the</w:t>
      </w:r>
      <w:r>
        <w:t xml:space="preserve"> </w:t>
      </w:r>
      <w:r>
        <w:t xml:space="preserve">invariant math off an identical public state tree. Privacy is non-existent by</w:t>
      </w:r>
      <w:r>
        <w:t xml:space="preserve"> </w:t>
      </w:r>
      <w:r>
        <w:t xml:space="preserve">design, and front-running / MEV extraction via the public mempool is a</w:t>
      </w:r>
      <w:r>
        <w:t xml:space="preserve"> </w:t>
      </w:r>
      <w:r>
        <w:t xml:space="preserve">structural reality.</w:t>
      </w:r>
    </w:p>
    <w:p>
      <w:pPr>
        <w:pStyle w:val="BodyText"/>
      </w:pPr>
      <w:r>
        <w:t xml:space="preserve">Canton operates on a privacy-preserving,</w:t>
      </w:r>
      <w:r>
        <w:t xml:space="preserve"> </w:t>
      </w:r>
      <w:r>
        <w:rPr>
          <w:b/>
          <w:bCs/>
        </w:rPr>
        <w:t xml:space="preserve">per-party projection</w:t>
      </w:r>
      <w:r>
        <w:t xml:space="preserve"> </w:t>
      </w:r>
      <w:r>
        <w:t xml:space="preserve">model enforced</w:t>
      </w:r>
      <w:r>
        <w:t xml:space="preserve"> </w:t>
      </w:r>
      <w:r>
        <w:t xml:space="preserve">by the Daml-LF 2.1 execution environment. A Canton contract is a cryptographic</w:t>
      </w:r>
      <w:r>
        <w:t xml:space="preserve"> </w:t>
      </w:r>
      <w:r>
        <w:t xml:space="preserve">commitment agreed by a specific, explicitly configured set of nodes. A DEX on</w:t>
      </w:r>
      <w:r>
        <w:t xml:space="preserve"> </w:t>
      </w:r>
      <w:r>
        <w:t xml:space="preserve">Canton cannot rely on a globally readable pool contract that any anonymous</w:t>
      </w:r>
      <w:r>
        <w:t xml:space="preserve"> </w:t>
      </w:r>
      <w:r>
        <w:t xml:space="preserve">participant can unilaterally mutate. Daml-LF 2.1 is also</w:t>
      </w:r>
      <w:r>
        <w:t xml:space="preserve"> </w:t>
      </w:r>
      <w:r>
        <w:rPr>
          <w:b/>
          <w:bCs/>
        </w:rPr>
        <w:t xml:space="preserve">keyless</w:t>
      </w:r>
      <w:r>
        <w:t xml:space="preserve">: state</w:t>
      </w:r>
      <w:r>
        <w:t xml:space="preserve"> </w:t>
      </w:r>
      <w:r>
        <w:t xml:space="preserve">changes by archive-and-recreate, not in-place mutation, and any new signatory</w:t>
      </w:r>
      <w:r>
        <w:t xml:space="preserve"> </w:t>
      </w:r>
      <w:r>
        <w:t xml:space="preserve">must actively co-authorize a state transition — so</w:t>
      </w:r>
      <w:r>
        <w:t xml:space="preserve"> </w:t>
      </w:r>
      <w:r>
        <w:rPr>
          <w:b/>
          <w:bCs/>
        </w:rPr>
        <w:t xml:space="preserve">two-step handshakes are a</w:t>
      </w:r>
      <w:r>
        <w:rPr>
          <w:b/>
          <w:bCs/>
        </w:rPr>
        <w:t xml:space="preserve"> </w:t>
      </w:r>
      <w:r>
        <w:rPr>
          <w:b/>
          <w:bCs/>
        </w:rPr>
        <w:t xml:space="preserve">necessity, not a style choice</w:t>
      </w:r>
      <w:r>
        <w:t xml:space="preserve">.</w:t>
      </w:r>
    </w:p>
    <w:p>
      <w:pPr>
        <w:pStyle w:val="BodyText"/>
      </w:pPr>
      <w:r>
        <w:t xml:space="preserve">To build a mathematically sound AMM in this privacy-first environment, the</w:t>
      </w:r>
      <w:r>
        <w:t xml:space="preserve"> </w:t>
      </w:r>
      <w:r>
        <w:t xml:space="preserve">architecture reconciles the transparency needed for price discovery and</w:t>
      </w:r>
      <w:r>
        <w:t xml:space="preserve"> </w:t>
      </w:r>
      <w:r>
        <w:t xml:space="preserve">invariant validation with the privacy needed for individual positions. The RI</w:t>
      </w:r>
      <w:r>
        <w:t xml:space="preserve"> </w:t>
      </w:r>
      <w:r>
        <w:t xml:space="preserve">does this by</w:t>
      </w:r>
      <w:r>
        <w:t xml:space="preserve"> </w:t>
      </w:r>
      <w:r>
        <w:rPr>
          <w:b/>
          <w:bCs/>
        </w:rPr>
        <w:t xml:space="preserve">fracturing settlements into per-authorizer allocation requests</w:t>
      </w:r>
      <w:r>
        <w:t xml:space="preserve">:</w:t>
      </w:r>
      <w:r>
        <w:t xml:space="preserve"> </w:t>
      </w:r>
      <w:r>
        <w:t xml:space="preserve">a trader's intent interacts with the public logic of a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contract, but the</w:t>
      </w:r>
      <w:r>
        <w:t xml:space="preserve"> </w:t>
      </w:r>
      <w:r>
        <w:t xml:space="preserve">actual asset movement rides on per-party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contracts on the CIP-0112 spine. Counterparties observe only their own legs —</w:t>
      </w:r>
      <w:r>
        <w:t xml:space="preserve"> </w:t>
      </w:r>
      <w:r>
        <w:t xml:space="preserve">visibility is restricted to a strict need-to-know basis.</w:t>
      </w:r>
    </w:p>
    <w:p>
      <w:pPr>
        <w:pStyle w:val="BodyText"/>
      </w:pPr>
      <w:r>
        <w:t xml:space="preserve">To validate the AMM invariant without centralizing trust in a single operator</w:t>
      </w:r>
      <w:r>
        <w:t xml:space="preserve"> </w:t>
      </w:r>
      <w:r>
        <w:t xml:space="preserve">node, the architecture introduces a</w:t>
      </w:r>
      <w:r>
        <w:t xml:space="preserve"> </w:t>
      </w:r>
      <w:r>
        <w:rPr>
          <w:b/>
          <w:bCs/>
        </w:rPr>
        <w:t xml:space="preserve">decentralized attestor pool</w:t>
      </w:r>
      <w:r>
        <w:t xml:space="preserve">: a set of</w:t>
      </w:r>
      <w:r>
        <w:t xml:space="preserve"> </w:t>
      </w:r>
      <w:r>
        <w:t xml:space="preserve">node-backed parties configured as required signatories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contract.</w:t>
      </w:r>
      <w:r>
        <w:t xml:space="preserve"> </w:t>
      </w:r>
      <w:r>
        <w:t xml:space="preserve">They collectively attest to the mathematical correctness of a transition before</w:t>
      </w:r>
      <w:r>
        <w:t xml:space="preserve"> </w:t>
      </w:r>
      <w:r>
        <w:t xml:space="preserve">authorizing settlement — mapping the decentralized-execution paradigm directly</w:t>
      </w:r>
      <w:r>
        <w:t xml:space="preserve"> </w:t>
      </w:r>
      <w:r>
        <w:t xml:space="preserve">onto Canton's per-contract signatory topology.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9f531ea831262c8823f074014ceb66eca72b14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The system partitions operations into distinct layers:</w:t>
      </w:r>
      <w:r>
        <w:t xml:space="preserve"> </w:t>
      </w:r>
      <w:r>
        <w:rPr>
          <w:b/>
          <w:bCs/>
        </w:rPr>
        <w:t xml:space="preserve">Market State</w:t>
      </w:r>
      <w:r>
        <w:t xml:space="preserve">,</w:t>
      </w:r>
      <w:r>
        <w:t xml:space="preserve"> </w:t>
      </w:r>
      <w:r>
        <w:rPr>
          <w:b/>
          <w:bCs/>
        </w:rPr>
        <w:t xml:space="preserve">Funding &amp; Authorization</w:t>
      </w:r>
      <w:r>
        <w:t xml:space="preserve">,</w:t>
      </w:r>
      <w:r>
        <w:t xml:space="preserve"> </w:t>
      </w:r>
      <w:r>
        <w:rPr>
          <w:b/>
          <w:bCs/>
        </w:rPr>
        <w:t xml:space="preserve">Asset Reservation</w:t>
      </w:r>
      <w:r>
        <w:t xml:space="preserve"> </w:t>
      </w:r>
      <w:r>
        <w:t xml:space="preserve">(the Settlement Spine), and</w:t>
      </w:r>
      <w:r>
        <w:t xml:space="preserve"> </w:t>
      </w:r>
      <w:r>
        <w:rPr>
          <w:b/>
          <w:bCs/>
        </w:rPr>
        <w:t xml:space="preserve">Registry Definitions</w:t>
      </w:r>
      <w:r>
        <w:t xml:space="preserve">. Orchestration is governed by reused primitives for</w:t>
      </w:r>
      <w:r>
        <w:t xml:space="preserve"> </w:t>
      </w:r>
      <w:r>
        <w:t xml:space="preserve">role management, pausing, and formally verifiable execution paths.</w:t>
      </w:r>
    </w:p>
    <w:bookmarkStart w:id="17" w:name="core-components-and-library-mapping"/>
    <w:p>
      <w:pPr>
        <w:pStyle w:val="Heading3"/>
      </w:pPr>
      <w:r>
        <w:t xml:space="preserve">Core Components and Library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Suite</w:t>
            </w:r>
          </w:p>
        </w:tc>
        <w:tc>
          <w:tcPr/>
          <w:p>
            <w:pPr>
              <w:pStyle w:val="Compact"/>
            </w:pPr>
            <w:r>
              <w:t xml:space="preserve">Applied Templates and Libraries</w:t>
            </w:r>
          </w:p>
        </w:tc>
        <w:tc>
          <w:tcPr/>
          <w:p>
            <w:pPr>
              <w:pStyle w:val="Compact"/>
            </w:pPr>
            <w:r>
              <w:t xml:space="preserve">Architectural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Role-based permissioning. Uses the</w:t>
            </w:r>
            <w:r>
              <w:t xml:space="preserve"> </w:t>
            </w:r>
            <w:r>
              <w:rPr>
                <w:rStyle w:val="VerbatimChar"/>
              </w:rPr>
              <w:t xml:space="preserve">roleId : MyRole -&gt; Text</w:t>
            </w:r>
            <w:r>
              <w:t xml:space="preserve"> </w:t>
            </w:r>
            <w:r>
              <w:t xml:space="preserve">closed-sum wrapper to prevent role collision across administrative domains. Governs venue operators, LP registrars, and compliance officers.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Lifecycle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Secure two-step handover of ultimate protocol administration (the single-admin capability authority, D4).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Constraints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Emergency circuit breaker.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  <w:r>
              <w:t xml:space="preserve"> </w:t>
            </w:r>
            <w:r>
              <w:t xml:space="preserve">is an origination guard: it blocks new swaps / liquidity additions but does not disturb in-flight settlements.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Spine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ToyHolding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</w:p>
        </w:tc>
        <w:tc>
          <w:tcPr/>
          <w:p>
            <w:pPr>
              <w:pStyle w:val="Compact"/>
            </w:pPr>
            <w:r>
              <w:t xml:space="preserve">Core engine for all asset movement.</w:t>
            </w:r>
            <w:r>
              <w:t xml:space="preserve"> </w:t>
            </w:r>
            <w:r>
              <w:rPr>
                <w:rStyle w:val="VerbatimChar"/>
              </w:rPr>
              <w:t xml:space="preserve">ToyHolding</w:t>
            </w:r>
            <w:r>
              <w:t xml:space="preserve"> </w:t>
            </w:r>
            <w:r>
              <w:t xml:space="preserve">is the toy unit of value (real assets implement the TSv2 holding interface). The spine makes transfers atomic, multi-lateral, and interface-bound.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Evidence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</w:p>
        </w:tc>
        <w:tc>
          <w:tcPr/>
          <w:p>
            <w:pPr>
              <w:pStyle w:val="Compact"/>
            </w:pPr>
            <w:r>
              <w:t xml:space="preserve">Holding and forced-burn/seizure logic.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 </w:t>
            </w:r>
            <w:r>
              <w:t xml:space="preserve">provides the 3-way transfer dispatch;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 </w:t>
            </w:r>
            <w:r>
              <w:t xml:space="preserve">manages delegated/standing credit.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State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t xml:space="preserve">Basis for advanced pool types (e.g. stableswaps) and a baseline price reference for oracle-deviation checks in extreme volatility.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Verification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  <w:r>
              <w:t xml:space="preserve">; D3 Shape-B types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experiment</w:t>
            </w:r>
          </w:p>
        </w:tc>
        <w:tc>
          <w:tcPr/>
          <w:p>
            <w:pPr>
              <w:pStyle w:val="Compact"/>
            </w:pPr>
            <w:r>
              <w:t xml:space="preserve">Fulfils the D3 identity and D1 compliance mandates via verifiable data structures for node-applied attestation.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 the typed D3</w:t>
      </w:r>
      <w:r>
        <w:t xml:space="preserve"> </w:t>
      </w:r>
      <w:r>
        <w:t xml:space="preserve">identity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types demonstrated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/ identity-hook-upgrade experiments,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templates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. The gateway supplies the gating/verification</w:t>
      </w:r>
      <w:r>
        <w:t xml:space="preserve"> </w:t>
      </w:r>
      <w:r>
        <w:t xml:space="preserve">primitives (</w:t>
      </w:r>
      <w:r>
        <w:rPr>
          <w:rStyle w:val="VerbatimChar"/>
        </w:rPr>
        <w:t xml:space="preserve">CredentialGatedActionRequest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); the</w:t>
      </w:r>
      <w:r>
        <w:t xml:space="preserve"> </w:t>
      </w:r>
      <w:r>
        <w:t xml:space="preserve">typed KYC claim shape is the forward-compatible target layered in via SCU.</w:t>
      </w:r>
    </w:p>
    <w:bookmarkEnd w:id="17"/>
    <w:bookmarkStart w:id="18" w:name="party-and-role-model-topology"/>
    <w:p>
      <w:pPr>
        <w:pStyle w:val="Heading3"/>
      </w:pPr>
      <w:r>
        <w:t xml:space="preserve">Party and Role Model Topology</w:t>
      </w:r>
    </w:p>
    <w:p>
      <w:pPr>
        <w:pStyle w:val="FirstParagraph"/>
      </w:pPr>
      <w:r>
        <w:t xml:space="preserve">Duties are segregated and mapped to discrete Daml parties: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Venue Operator (</w:t>
      </w:r>
      <w:r>
        <w:rPr>
          <w:rStyle w:val="VerbatimChar"/>
          <w:b/>
          <w:bCs/>
        </w:rPr>
        <w:t xml:space="preserve">CANTON_OPERATOR</w:t>
      </w:r>
      <w:r>
        <w:rPr>
          <w:b/>
          <w:bCs/>
        </w:rPr>
        <w:t xml:space="preserve">)</w:t>
      </w:r>
      <w:r>
        <w:t xml:space="preserve"> </w:t>
      </w:r>
      <w:r>
        <w:t xml:space="preserve">— manages the matching engine, creates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, and submits batch settlements. Has execution authority to call</w:t>
      </w:r>
      <w:r>
        <w:t xml:space="preserve"> </w:t>
      </w:r>
      <w:r>
        <w:t xml:space="preserve">the settlement factory but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holds custody or unilateral transfer</w:t>
      </w:r>
      <w:r>
        <w:t xml:space="preserve"> </w:t>
      </w:r>
      <w:r>
        <w:t xml:space="preserve">rights over trader funds.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 Registrar (</w:t>
      </w:r>
      <w:r>
        <w:rPr>
          <w:rStyle w:val="VerbatimChar"/>
          <w:b/>
          <w:bCs/>
        </w:rPr>
        <w:t xml:space="preserve">CANTON_LP_REGISTRAR</w:t>
      </w:r>
      <w:r>
        <w:rPr>
          <w:b/>
          <w:bCs/>
        </w:rPr>
        <w:t xml:space="preserve">)</w:t>
      </w:r>
      <w:r>
        <w:t xml:space="preserve"> </w:t>
      </w:r>
      <w:r>
        <w:t xml:space="preserve">— manages LP-token policy. Separating</w:t>
      </w:r>
      <w:r>
        <w:t xml:space="preserve"> </w:t>
      </w:r>
      <w:r>
        <w:t xml:space="preserve">the registrar from the operator allows future delegation of LP-token issuance</w:t>
      </w:r>
      <w:r>
        <w:t xml:space="preserve"> </w:t>
      </w:r>
      <w:r>
        <w:t xml:space="preserve">to a regulated third-party custodian.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 Administrator (</w:t>
      </w:r>
      <w:r>
        <w:rPr>
          <w:rStyle w:val="VerbatimChar"/>
          <w:b/>
          <w:bCs/>
        </w:rPr>
        <w:t xml:space="preserve">CANTON_ADMIN</w:t>
      </w:r>
      <w:r>
        <w:rPr>
          <w:b/>
          <w:bCs/>
        </w:rPr>
        <w:t xml:space="preserve">)</w:t>
      </w:r>
      <w:r>
        <w:t xml:space="preserve"> </w:t>
      </w:r>
      <w:r>
        <w:t xml:space="preserve">— issuer/registrar of the base and</w:t>
      </w:r>
      <w:r>
        <w:t xml:space="preserve"> </w:t>
      </w:r>
      <w:r>
        <w:t xml:space="preserve">quote instruments. Controls instrument configuration and holds the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required for D2 seizure.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Trader / Liquidity Provider</w:t>
      </w:r>
      <w:r>
        <w:t xml:space="preserve"> </w:t>
      </w:r>
      <w:r>
        <w:t xml:space="preserve">— the end-user authoring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contracts from their wallet. The sole party cryptographically able to lock</w:t>
      </w:r>
      <w:r>
        <w:t xml:space="preserve"> </w:t>
      </w:r>
      <w:r>
        <w:t xml:space="preserve">their own holdings.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Decentralized Attestor Pool</w:t>
      </w:r>
      <w:r>
        <w:t xml:space="preserve"> </w:t>
      </w:r>
      <w:r>
        <w:t xml:space="preserve">— a consortium of nodes modeled as</w:t>
      </w:r>
      <w:r>
        <w:t xml:space="preserve"> </w:t>
      </w:r>
      <w:r>
        <w:rPr>
          <w:rStyle w:val="VerbatimChar"/>
        </w:rPr>
        <w:t xml:space="preserve">attestorPool : [Party]</w:t>
      </w:r>
      <w:r>
        <w:t xml:space="preserve">, acting as joint signatories on the core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state.</w:t>
      </w:r>
    </w:p>
    <w:bookmarkEnd w:id="18"/>
    <w:bookmarkStart w:id="19" w:name="X19043218c3d1d699f32b8ac041d7599ff3de862"/>
    <w:p>
      <w:pPr>
        <w:pStyle w:val="Heading3"/>
      </w:pPr>
      <w:r>
        <w:t xml:space="preserve">Trust Topology and Consensus Configuration</w:t>
      </w:r>
    </w:p>
    <w:p>
      <w:pPr>
        <w:pStyle w:val="FirstParagraph"/>
      </w:pPr>
      <w:r>
        <w:t xml:space="preserve">Every Canton contract must declare which nodes participate in transaction</w:t>
      </w:r>
      <w:r>
        <w:t xml:space="preserve"> </w:t>
      </w:r>
      <w:r>
        <w:t xml:space="preserve">validation. Unlike EVM (all nodes validate all transitions), Canton restricts</w:t>
      </w:r>
      <w:r>
        <w:t xml:space="preserve"> </w:t>
      </w:r>
      <w:r>
        <w:t xml:space="preserve">validation to nodes hosting the signatories and observers of the involved</w:t>
      </w:r>
      <w:r>
        <w:t xml:space="preserve"> </w:t>
      </w:r>
      <w:r>
        <w:t xml:space="preserve">contracts.</w:t>
      </w:r>
    </w:p>
    <w:p>
      <w:pPr>
        <w:pStyle w:val="BodyText"/>
      </w:pPr>
      <w:r>
        <w:t xml:space="preserve">To prevent the Venue Operator from unilaterally manipulating pool reserves,</w:t>
      </w:r>
      <w:r>
        <w:t xml:space="preserve"> </w:t>
      </w:r>
      <w:r>
        <w:t xml:space="preserve">spoofing a price curve, or trading outside slippage bounds,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contract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in its signatories. When a swap occurs, the operator</w:t>
      </w:r>
      <w:r>
        <w:t xml:space="preserve"> </w:t>
      </w:r>
      <w:r>
        <w:t xml:space="preserve">computes the proposed next reserves, but the transition must be co-signed by a</w:t>
      </w:r>
      <w:r>
        <w:t xml:space="preserve"> </w:t>
      </w:r>
      <w:r>
        <w:t xml:space="preserve">programmatic threshold of the attestor pool. The attestor nodes run independent</w:t>
      </w:r>
      <w:r>
        <w:t xml:space="preserve"> </w:t>
      </w:r>
      <w:r>
        <w:t xml:space="preserve">verification against the public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state, checking that the</w:t>
      </w:r>
      <w:r>
        <w:t xml:space="preserve"> </w:t>
      </w:r>
      <w:r>
        <w:t xml:space="preserve">constant-product invariant holds (accounting for</w:t>
      </w:r>
      <w:r>
        <w:t xml:space="preserve"> </w:t>
      </w:r>
      <w:r>
        <w:rPr>
          <w:rStyle w:val="VerbatimChar"/>
        </w:rPr>
        <w:t xml:space="preserve">feeBps</w:t>
      </w:r>
      <w:r>
        <w:t xml:space="preserve">) before supplying</w:t>
      </w:r>
      <w:r>
        <w:t xml:space="preserve"> </w:t>
      </w:r>
      <w:r>
        <w:t xml:space="preserve">their cryptographic authorizations.</w:t>
      </w:r>
    </w:p>
    <w:p>
      <w:pPr>
        <w:pStyle w:val="BodyText"/>
      </w:pPr>
      <w:r>
        <w:t xml:space="preserve">This maps onto Canton's native node-side compliance model. Because the</w:t>
      </w:r>
      <w:r>
        <w:t xml:space="preserve"> </w:t>
      </w:r>
      <w:r>
        <w:t xml:space="preserve">underlying capability already exists in the ecosystem (e.g. BitSafe cBTC</w:t>
      </w:r>
      <w:r>
        <w:t xml:space="preserve"> </w:t>
      </w:r>
      <w:r>
        <w:t xml:space="preserve">infrastructure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) and Digital Asset is building tooling for exactly</w:t>
      </w:r>
      <w:r>
        <w:t xml:space="preserve"> </w:t>
      </w:r>
      <w:r>
        <w:t xml:space="preserve">this pattern, integrating an enterprise-grade node-consensus layer is intended</w:t>
      </w:r>
      <w:r>
        <w:t xml:space="preserve"> </w:t>
      </w:r>
      <w:r>
        <w:t xml:space="preserve">to be a</w:t>
      </w:r>
      <w:r>
        <w:t xml:space="preserve"> </w:t>
      </w:r>
      <w:r>
        <w:rPr>
          <w:b/>
          <w:bCs/>
        </w:rPr>
        <w:t xml:space="preserve">drop-in</w:t>
      </w:r>
      <w:r>
        <w:t xml:space="preserve">, not a structural rewrite. The exact membership-rotation and</w:t>
      </w:r>
      <w:r>
        <w:t xml:space="preserve"> </w:t>
      </w:r>
      <w:r>
        <w:t xml:space="preserve">threshold mechanics are an open question (see §9).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768877ac61802d848295b7cce07ef9b548a1273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The operational lifecycle orchestrates state transitions that culminate in</w:t>
      </w:r>
      <w:r>
        <w:t xml:space="preserve"> </w:t>
      </w:r>
      <w:r>
        <w:t xml:space="preserve">atomic, multi-lateral ledger updates via the CIP-0112 settlement spine. The</w:t>
      </w:r>
      <w:r>
        <w:t xml:space="preserve"> </w:t>
      </w:r>
      <w:r>
        <w:t xml:space="preserve">design prioritizes Readability, Simplicity, Security, and Auditability, in that</w:t>
      </w:r>
      <w:r>
        <w:t xml:space="preserve"> </w:t>
      </w:r>
      <w:r>
        <w:t xml:space="preserve">order.</w:t>
      </w:r>
    </w:p>
    <w:bookmarkStart w:id="21" w:name="the-settlement-spine-flow-step-by-step"/>
    <w:p>
      <w:pPr>
        <w:pStyle w:val="Heading3"/>
      </w:pPr>
      <w:r>
        <w:t xml:space="preserve">The Settlement-Spine Flow: Step by Step</w:t>
      </w:r>
    </w:p>
    <w:p>
      <w:pPr>
        <w:pStyle w:val="FirstParagraph"/>
      </w:pPr>
      <w:r>
        <w:t xml:space="preserve">The execution of a swap is the primary critical path. The flow guarantees funds</w:t>
      </w:r>
      <w:r>
        <w:t xml:space="preserve"> </w:t>
      </w:r>
      <w:r>
        <w:t xml:space="preserve">are never locked without a resolution path and that execution is atomic.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Intent and Quotation.</w:t>
      </w:r>
      <w:r>
        <w:t xml:space="preserve"> </w:t>
      </w:r>
      <w:r>
        <w:t xml:space="preserve">A trader requests a quote (swap Token A → Token B).</w:t>
      </w:r>
      <w:r>
        <w:t xml:space="preserve"> </w:t>
      </w:r>
      <w:r>
        <w:t xml:space="preserve">The operator backend reads current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 and returns an expected</w:t>
      </w:r>
      <w:r>
        <w:t xml:space="preserve"> </w:t>
      </w:r>
      <w:r>
        <w:t xml:space="preserve">output amount plus an</w:t>
      </w:r>
      <w:r>
        <w:t xml:space="preserve"> </w:t>
      </w:r>
      <w:r>
        <w:rPr>
          <w:rStyle w:val="VerbatimChar"/>
        </w:rPr>
        <w:t xml:space="preserve">AllocationSpecification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Allocation Generation.</w:t>
      </w:r>
      <w:r>
        <w:t xml:space="preserve"> </w:t>
      </w:r>
      <w:r>
        <w:t xml:space="preserve">The trader signs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 </w:t>
      </w:r>
      <w:r>
        <w:t xml:space="preserve">to create an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AllocationInstruction_Accept</w:t>
      </w:r>
      <w:r>
        <w:t xml:space="preserve"> </w:t>
      </w:r>
      <w:r>
        <w:t xml:space="preserve">locks their</w:t>
      </w:r>
      <w:r>
        <w:t xml:space="preserve"> </w:t>
      </w:r>
      <w:r>
        <w:t xml:space="preserve">Token A holding and creates a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designating</w:t>
      </w:r>
      <w:r>
        <w:t xml:space="preserve"> </w:t>
      </w:r>
      <w:r>
        <w:rPr>
          <w:rStyle w:val="VerbatimChar"/>
        </w:rPr>
        <w:t xml:space="preserve">CANTON_OPERATOR</w:t>
      </w:r>
      <w:r>
        <w:t xml:space="preserve"> </w:t>
      </w:r>
      <w:r>
        <w:t xml:space="preserve">as the authorized executor. The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field conserves any unfilled remainder so a partial fill (relevant for the</w:t>
      </w:r>
      <w:r>
        <w:t xml:space="preserve"> </w:t>
      </w:r>
      <w:r>
        <w:t xml:space="preserve">CLOB parameterization) rolls forward into a new allocation iteration.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Formulation.</w:t>
      </w:r>
      <w:r>
        <w:t xml:space="preserve"> </w:t>
      </w:r>
      <w:r>
        <w:t xml:space="preserve">The trader formulates an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SettlementFactory_CreateAllocationRequest</w:t>
      </w:r>
      <w:r>
        <w:t xml:space="preserve">) naming the desired output asset</w:t>
      </w:r>
      <w:r>
        <w:t xml:space="preserve"> </w:t>
      </w:r>
      <w:r>
        <w:t xml:space="preserve">(Token B) and the minimum acceptable amount — enforcing personal slippage</w:t>
      </w:r>
      <w:r>
        <w:t xml:space="preserve"> </w:t>
      </w:r>
      <w:r>
        <w:t xml:space="preserve">bounds.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Formulation.</w:t>
      </w:r>
      <w:r>
        <w:t xml:space="preserve"> </w:t>
      </w:r>
      <w:r>
        <w:rPr>
          <w:rStyle w:val="VerbatimChar"/>
        </w:rPr>
        <w:t xml:space="preserve">CANTON_OPERATOR</w:t>
      </w:r>
      <w:r>
        <w:t xml:space="preserve"> </w:t>
      </w:r>
      <w:r>
        <w:t xml:space="preserve">aggregates the trader's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with the pool's active state and constructs a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instruction.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Attestor Verification.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nodes observe the proposed</w:t>
      </w:r>
      <w:r>
        <w:t xml:space="preserve"> </w:t>
      </w:r>
      <w:r>
        <w:t xml:space="preserve">batch, verify the AMM invariants against the proposed state, and append their</w:t>
      </w:r>
      <w:r>
        <w:t xml:space="preserve"> </w:t>
      </w:r>
      <w:r>
        <w:t xml:space="preserve">required signatures.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Atomic Settlement.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executes as a single</w:t>
      </w:r>
      <w:r>
        <w:t xml:space="preserve"> </w:t>
      </w:r>
      <w:r>
        <w:t xml:space="preserve">Daml transaction: it consumes the input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 archives the current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state, emits a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 </w:t>
      </w:r>
      <w:r>
        <w:t xml:space="preserve">for the trader, credits the Token B</w:t>
      </w:r>
      <w:r>
        <w:t xml:space="preserve"> </w:t>
      </w:r>
      <w:r>
        <w:t xml:space="preserve">holding to the trader, and creates a new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reflecting updated reserves.</w:t>
      </w:r>
    </w:p>
    <w:p>
      <w:pPr>
        <w:pStyle w:val="BlockText"/>
      </w:pPr>
      <w:r>
        <w:rPr>
          <w:b/>
          <w:bCs/>
        </w:rPr>
        <w:t xml:space="preserve">Non-negotiable enforcement:</w:t>
      </w:r>
      <w:r>
        <w:t xml:space="preserve"> </w:t>
      </w:r>
      <w:r>
        <w:t xml:space="preserve">atomic DvP is achieved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(one Daml transaction over many allocations).</w:t>
      </w:r>
      <w:r>
        <w:t xml:space="preserve"> </w:t>
      </w:r>
      <w:r>
        <w:t xml:space="preserve">The direct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path proves authorization exists (via fetched</w:t>
      </w:r>
      <w:r>
        <w:t xml:space="preserve"> </w:t>
      </w:r>
      <w:r>
        <w:t xml:space="preserve">peer allocations/receipts)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atomic multi-lateral co-settlement,</w:t>
      </w:r>
      <w:r>
        <w:t xml:space="preserve"> </w:t>
      </w:r>
      <w:r>
        <w:t xml:space="preserve">so it is intentionally not used for the asset exchange.</w:t>
      </w:r>
    </w:p>
    <w:bookmarkEnd w:id="21"/>
    <w:bookmarkStart w:id="22" w:name="Xbde9fe7e2480ab7fce470ff9914498ca57e6525"/>
    <w:p>
      <w:pPr>
        <w:pStyle w:val="Heading3"/>
      </w:pPr>
      <w:r>
        <w:t xml:space="preserve">Liquidity Provision, Removal, and Fee Accrual</w:t>
      </w:r>
    </w:p>
    <w:p>
      <w:pPr>
        <w:pStyle w:val="FirstParagraph"/>
      </w:pPr>
      <w:r>
        <w:t xml:space="preserve">The same spine carries the non-swap flows the grant M2 acceptance requires; all</w:t>
      </w:r>
      <w:r>
        <w:t xml:space="preserve"> </w:t>
      </w:r>
      <w:r>
        <w:t xml:space="preserve">remain atomic via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Pool creation.</w:t>
      </w:r>
      <w:r>
        <w:t xml:space="preserve"> </w:t>
      </w:r>
      <w:r>
        <w:rPr>
          <w:rStyle w:val="VerbatimChar"/>
        </w:rPr>
        <w:t xml:space="preserve">CANTON_OPERATOR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CANTON_LP_REGISTRAR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jointly create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(their joint signature is the</w:t>
      </w:r>
      <w:r>
        <w:t xml:space="preserve"> </w:t>
      </w:r>
      <w:r>
        <w:t xml:space="preserve">configured consensus topology). Initial reserves are seeded by the first</w:t>
      </w:r>
      <w:r>
        <w:t xml:space="preserve"> </w:t>
      </w:r>
      <w:r>
        <w:t xml:space="preserve">liquidity provision.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Liquidity provision.</w:t>
      </w:r>
      <w:r>
        <w:t xml:space="preserve"> </w:t>
      </w:r>
      <w:r>
        <w:t xml:space="preserve">The LP allocates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instruments (two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s) and the operator batch-settles them into the pool reserves; in</w:t>
      </w:r>
      <w:r>
        <w:t xml:space="preserve"> </w:t>
      </w:r>
      <w:r>
        <w:t xml:space="preserve">the same transaction the</w:t>
      </w:r>
      <w:r>
        <w:t xml:space="preserve"> </w:t>
      </w:r>
      <w:r>
        <w:rPr>
          <w:rStyle w:val="VerbatimChar"/>
        </w:rPr>
        <w:t xml:space="preserve">CANTON_LP_REGISTRAR</w:t>
      </w:r>
      <w:r>
        <w:t xml:space="preserve"> </w:t>
      </w:r>
      <w:r>
        <w:t xml:space="preserve">mints LP tokens proportional to</w:t>
      </w:r>
      <w:r>
        <w:t xml:space="preserve"> </w:t>
      </w:r>
      <w:r>
        <w:t xml:space="preserve">the contributed share. The new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reflects increased reserves.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Liquidity removal.</w:t>
      </w:r>
      <w:r>
        <w:t xml:space="preserve"> </w:t>
      </w:r>
      <w:r>
        <w:t xml:space="preserve">The LP burns LP tokens; the batch settles a withdrawal</w:t>
      </w:r>
      <w:r>
        <w:t xml:space="preserve"> </w:t>
      </w:r>
      <w:r>
        <w:t xml:space="preserve">of the proportional share of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reserves back to the LP, and a new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with reduced reserves is created.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 accrual / collection.</w:t>
      </w:r>
      <w:r>
        <w:t xml:space="preserve"> </w:t>
      </w:r>
      <w:r>
        <w:rPr>
          <w:rStyle w:val="VerbatimChar"/>
        </w:rPr>
        <w:t xml:space="preserve">feeBps</w:t>
      </w:r>
      <w:r>
        <w:t xml:space="preserve"> </w:t>
      </w:r>
      <w:r>
        <w:t xml:space="preserve">is retained in the pool on each swap,</w:t>
      </w:r>
      <w:r>
        <w:t xml:space="preserve"> </w:t>
      </w:r>
      <w:r>
        <w:t xml:space="preserve">so reserves grow relative to LP-token supply — fees accrue to LPs implicitly</w:t>
      </w:r>
      <w:r>
        <w:t xml:space="preserve"> </w:t>
      </w:r>
      <w:r>
        <w:t xml:space="preserve">via redemption value rather than a separate claim. A dynamic-fee hook is an</w:t>
      </w:r>
      <w:r>
        <w:t xml:space="preserve"> </w:t>
      </w:r>
      <w:r>
        <w:t xml:space="preserve">explicit SCU extension point (§9), not M1 scope.</w:t>
      </w:r>
    </w:p>
    <w:p>
      <w:pPr>
        <w:pStyle w:val="FirstParagraph"/>
      </w:pPr>
      <w:r>
        <w:t xml:space="preserve">All four flows are guarded by</w:t>
      </w:r>
      <w:r>
        <w:t xml:space="preserve"> </w:t>
      </w:r>
      <w:r>
        <w:rPr>
          <w:rStyle w:val="VerbatimChar"/>
        </w:rPr>
        <w:t xml:space="preserve">whenNotPaused</w:t>
      </w:r>
      <w:r>
        <w:t xml:space="preserve"> </w:t>
      </w:r>
      <w:r>
        <w:t xml:space="preserve">at origination and inherit the</w:t>
      </w:r>
      <w:r>
        <w:t xml:space="preserve"> </w:t>
      </w:r>
      <w:r>
        <w:t xml:space="preserve">same D1 compliance check per settlement leg.</w:t>
      </w:r>
    </w:p>
    <w:bookmarkEnd w:id="22"/>
    <w:bookmarkStart w:id="23" w:name="X597a53946627fcebff4344c8f5c6ed31aff3715"/>
    <w:p>
      <w:pPr>
        <w:pStyle w:val="Heading3"/>
      </w:pPr>
      <w:r>
        <w:t xml:space="preserve">D1 Compliance: Node-Applied Attestation (Shape B)</w:t>
      </w:r>
    </w:p>
    <w:p>
      <w:pPr>
        <w:pStyle w:val="FirstParagraph"/>
      </w:pPr>
      <w:r>
        <w:t xml:space="preserve">Compliance is checked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settlement leg with</w:t>
      </w:r>
      <w:r>
        <w:t xml:space="preserve"> </w:t>
      </w:r>
      <w:r>
        <w:rPr>
          <w:b/>
          <w:bCs/>
        </w:rPr>
        <w:t xml:space="preserve">no caching</w:t>
      </w:r>
      <w:r>
        <w:t xml:space="preserve">, on a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basis (PLAN.md Decision Log; AGENTS.md §Decision Authority). The</w:t>
      </w:r>
      <w:r>
        <w:t xml:space="preserve"> </w:t>
      </w:r>
      <w:r>
        <w:t xml:space="preserve">RI selects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 attestation) for the D1 seam.</w:t>
      </w:r>
    </w:p>
    <w:p>
      <w:pPr>
        <w:pStyle w:val="BodyText"/>
      </w:pPr>
      <w:r>
        <w:t xml:space="preserve">Shape A (an off-ledger API gate) would introduce a centralized failure point,</w:t>
      </w:r>
      <w:r>
        <w:t xml:space="preserve"> </w:t>
      </w:r>
      <w:r>
        <w:t xml:space="preserve">add latency to the settlement path, and conflict with the decentralized</w:t>
      </w:r>
      <w:r>
        <w:t xml:space="preserve"> </w:t>
      </w:r>
      <w:r>
        <w:t xml:space="preserve">attestor topology. With Shape B, compliance is pushed to participating nodes:</w:t>
      </w:r>
      <w:r>
        <w:t xml:space="preserve"> </w:t>
      </w:r>
      <w:r>
        <w:t xml:space="preserve">the on-ledger seam is the optional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config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hookRef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requiresPerSettlementReference</w:t>
      </w:r>
      <w:r>
        <w:t xml:space="preserve">) carried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. At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time, the node-side check requires a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 </w:t>
      </w:r>
      <w:r>
        <w:t xml:space="preserve">accompanied by a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(a stand-in for a live zero-knowledge</w:t>
      </w:r>
      <w:r>
        <w:t xml:space="preserve"> </w:t>
      </w:r>
      <w:r>
        <w:t xml:space="preserve">verification result in production) proving the trader has not been flagged</w:t>
      </w:r>
      <w:r>
        <w:t xml:space="preserve"> </w:t>
      </w:r>
      <w:r>
        <w:t xml:space="preserve">within the current ledger-time bounds.</w:t>
      </w:r>
    </w:p>
    <w:p>
      <w:pPr>
        <w:pStyle w:val="BlockText"/>
      </w:pPr>
      <w:r>
        <w:rPr>
          <w:b/>
          <w:bCs/>
        </w:rPr>
        <w:t xml:space="preserve">Open D1 clarification (non-blocking):</w:t>
      </w:r>
      <w:r>
        <w:t xml:space="preserve"> </w:t>
      </w:r>
      <w:r>
        <w:t xml:space="preserve">whether the contract stays oblivious</w:t>
      </w:r>
      <w:r>
        <w:t xml:space="preserve"> </w:t>
      </w:r>
      <w:r>
        <w:t xml:space="preserve">to the result (pure off-ledger gate) or verifies a signed node attestation</w:t>
      </w:r>
      <w:r>
        <w:t xml:space="preserve"> </w:t>
      </w:r>
      <w:r>
        <w:t xml:space="preserve">on-ledger at exercise time is still open (PLAN.md Open Questions). The RI</w:t>
      </w:r>
      <w:r>
        <w:t xml:space="preserve"> </w:t>
      </w:r>
      <w:r>
        <w:t xml:space="preserve">builds behind the optional hook and can add typed on-ledger attestation later</w:t>
      </w:r>
      <w:r>
        <w:t xml:space="preserve"> </w:t>
      </w:r>
      <w:r>
        <w:t xml:space="preserve">via the SCU path.</w:t>
      </w:r>
    </w:p>
    <w:bookmarkEnd w:id="23"/>
    <w:bookmarkStart w:id="24" w:name="X3378f2b735cb197e3c4bb0829c3be04e12c8493"/>
    <w:p>
      <w:pPr>
        <w:pStyle w:val="Heading3"/>
      </w:pPr>
      <w:r>
        <w:t xml:space="preserve">D2 Seizure: Admin-Preset Custodian Lock-and-Sweep</w:t>
      </w:r>
    </w:p>
    <w:p>
      <w:pPr>
        <w:pStyle w:val="FirstParagraph"/>
      </w:pPr>
      <w:r>
        <w:t xml:space="preserve">Institutional DeFi requires the ability to seize assets under judicial mandate.</w:t>
      </w:r>
      <w:r>
        <w:t xml:space="preserve"> </w:t>
      </w:r>
      <w:r>
        <w:t xml:space="preserve">The RI implements D2 via a strict</w:t>
      </w:r>
      <w:r>
        <w:t xml:space="preserve"> </w:t>
      </w:r>
      <w:r>
        <w:rPr>
          <w:b/>
          <w:bCs/>
        </w:rPr>
        <w:t xml:space="preserve">lock-and-sweep</w:t>
      </w:r>
      <w:r>
        <w:t xml:space="preserve"> </w:t>
      </w:r>
      <w:r>
        <w:t xml:space="preserve">pattern that</w:t>
      </w:r>
      <w:r>
        <w:t xml:space="preserve"> </w:t>
      </w:r>
      <w:r>
        <w:rPr>
          <w:b/>
          <w:bCs/>
        </w:rPr>
        <w:t xml:space="preserve">forbids</w:t>
      </w:r>
      <w:r>
        <w:t xml:space="preserve"> </w:t>
      </w:r>
      <w:r>
        <w:t xml:space="preserve">arbitrary burning and</w:t>
      </w:r>
      <w:r>
        <w:t xml:space="preserve"> </w:t>
      </w:r>
      <w:r>
        <w:rPr>
          <w:b/>
          <w:bCs/>
        </w:rPr>
        <w:t xml:space="preserve">forbids</w:t>
      </w:r>
      <w:r>
        <w:t xml:space="preserve"> </w:t>
      </w:r>
      <w:r>
        <w:t xml:space="preserve">returning seized funds to the sender.</w:t>
      </w:r>
    </w:p>
    <w:p>
      <w:pPr>
        <w:pStyle w:val="BodyText"/>
      </w:pPr>
      <w:r>
        <w:t xml:space="preserve">Seizure uses the real spine choices on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blocks settlement of a targeted allocation,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 </w:t>
      </w:r>
      <w:r>
        <w:t xml:space="preserve">(gated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) sweeps the locked holding to the</w:t>
      </w:r>
      <w:r>
        <w:t xml:space="preserve"> </w:t>
      </w:r>
      <w:r>
        <w:rPr>
          <w:rStyle w:val="VerbatimChar"/>
        </w:rPr>
        <w:t xml:space="preserve">custodianDestination : Account</w:t>
      </w:r>
      <w:r>
        <w:t xml:space="preserve"> </w:t>
      </w:r>
      <w:r>
        <w:t xml:space="preserve">carried in the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config record.</w:t>
      </w:r>
      <w:r>
        <w:t xml:space="preserve"> </w:t>
      </w:r>
      <w:r>
        <w:t xml:space="preserve">The destination is</w:t>
      </w:r>
      <w:r>
        <w:t xml:space="preserve"> </w:t>
      </w:r>
      <w:r>
        <w:rPr>
          <w:b/>
          <w:bCs/>
        </w:rPr>
        <w:t xml:space="preserve">admin-preset</w:t>
      </w:r>
      <w:r>
        <w:t xml:space="preserve"> </w:t>
      </w:r>
      <w:r>
        <w:t xml:space="preserve">(e.g. a regulated cold-storage vault). By</w:t>
      </w:r>
      <w:r>
        <w:t xml:space="preserve"> </w:t>
      </w:r>
      <w:r>
        <w:t xml:space="preserve">contrast, a standard transfer that</w:t>
      </w:r>
      <w:r>
        <w:t xml:space="preserve"> </w:t>
      </w:r>
      <w:r>
        <w:rPr>
          <w:i/>
          <w:iCs/>
        </w:rPr>
        <w:t xml:space="preserve">fails</w:t>
      </w:r>
      <w:r>
        <w:t xml:space="preserve"> </w:t>
      </w:r>
      <w:r>
        <w:t xml:space="preserve">due to transient faults or invalid</w:t>
      </w:r>
      <w:r>
        <w:t xml:space="preserve"> </w:t>
      </w:r>
      <w:r>
        <w:t xml:space="preserve">parameters returns to sender — assets are never marooned by technical faults.</w:t>
      </w:r>
      <w:r>
        <w:t xml:space="preserve"> </w:t>
      </w:r>
      <w:r>
        <w:t xml:space="preserve">This matches the decided D2 semantics:</w:t>
      </w:r>
      <w:r>
        <w:t xml:space="preserve"> </w:t>
      </w:r>
      <w:r>
        <w:rPr>
          <w:i/>
          <w:iCs/>
        </w:rPr>
        <w:t xml:space="preserve">seizure routes to the preset custodian;</w:t>
      </w:r>
      <w:r>
        <w:rPr>
          <w:i/>
          <w:iCs/>
        </w:rPr>
        <w:t xml:space="preserve"> </w:t>
      </w:r>
      <w:r>
        <w:rPr>
          <w:i/>
          <w:iCs/>
        </w:rPr>
        <w:t xml:space="preserve">transfer failures return to sender.</w:t>
      </w:r>
    </w:p>
    <w:bookmarkEnd w:id="24"/>
    <w:bookmarkStart w:id="25" w:name="X10e74c0953574866a4c39db5c0976e87ff3ac58"/>
    <w:p>
      <w:pPr>
        <w:pStyle w:val="Heading3"/>
      </w:pPr>
      <w:r>
        <w:t xml:space="preserve">D3 Identity: Single-Domain V1 to Cross-Domain via SCU</w:t>
      </w:r>
    </w:p>
    <w:p>
      <w:pPr>
        <w:pStyle w:val="FirstParagraph"/>
      </w:pPr>
      <w:r>
        <w:t xml:space="preserve">The system uses a single-domain v1 identity architecture. Traders must hold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issued by a party present in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to interact</w:t>
      </w:r>
      <w:r>
        <w:t xml:space="preserve"> </w:t>
      </w:r>
      <w:r>
        <w:t xml:space="preserve">with permissioned pools (compliance/identity gating is</w:t>
      </w:r>
      <w:r>
        <w:t xml:space="preserve"> </w:t>
      </w:r>
      <w:r>
        <w:rPr>
          <w:b/>
          <w:bCs/>
        </w:rPr>
        <w:t xml:space="preserve">optional per pool</w:t>
      </w:r>
      <w:r>
        <w:t xml:space="preserve"> </w:t>
      </w:r>
      <w:r>
        <w:t xml:space="preserve">—</w:t>
      </w:r>
      <w:r>
        <w:t xml:space="preserve"> </w:t>
      </w:r>
      <w:r>
        <w:t xml:space="preserve">permissioned vs permissionless).</w:t>
      </w:r>
    </w:p>
    <w:p>
      <w:pPr>
        <w:pStyle w:val="BodyText"/>
      </w:pPr>
      <w:r>
        <w:t xml:space="preserve">To stay forward-compatible with cross-domain models (ONCHAINID / ERC-3643 /</w:t>
      </w:r>
      <w:r>
        <w:t xml:space="preserve"> </w:t>
      </w:r>
      <w:r>
        <w:t xml:space="preserve">Chainlink CCID) without breaking existing state, the system relies on SCU</w:t>
      </w:r>
      <w:r>
        <w:t xml:space="preserve"> </w:t>
      </w:r>
      <w:r>
        <w:t xml:space="preserve">conventions: base interfaces declare identity requirements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fields. When cross-domain identity is introduced later, a new serializable type</w:t>
      </w:r>
      <w:r>
        <w:t xml:space="preserve"> </w:t>
      </w:r>
      <w:r>
        <w:t xml:space="preserve">representing the cross-domain proof is appended within the existing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parameter, leaving the single-domain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logic fully functional. This is</w:t>
      </w:r>
      <w:r>
        <w:t xml:space="preserve"> </w:t>
      </w:r>
      <w:r>
        <w:t xml:space="preserve">the same additive path proven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bookmarkEnd w:id="25"/>
    <w:bookmarkStart w:id="26" w:name="d4-authority-single-admin-capability"/>
    <w:p>
      <w:pPr>
        <w:pStyle w:val="Heading3"/>
      </w:pPr>
      <w:r>
        <w:t xml:space="preserve">D4 Authority: Single-Admin Capability</w:t>
      </w:r>
    </w:p>
    <w:p>
      <w:pPr>
        <w:pStyle w:val="FirstParagraph"/>
      </w:pPr>
      <w:r>
        <w:t xml:space="preserve">M1 critical actions — LP-token minting, asset burning, seizure execution, and</w:t>
      </w:r>
      <w:r>
        <w:t xml:space="preserve"> </w:t>
      </w:r>
      <w:r>
        <w:t xml:space="preserve">protocol-ownership handoff — are controlled via a</w:t>
      </w:r>
      <w:r>
        <w:t xml:space="preserve"> </w:t>
      </w:r>
      <w:r>
        <w:rPr>
          <w:b/>
          <w:bCs/>
        </w:rPr>
        <w:t xml:space="preserve">single-admin capability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</w:t>
      </w:r>
      <w:r>
        <w:t xml:space="preserve">.</w:t>
      </w:r>
      <w:r>
        <w:t xml:space="preserve"> </w:t>
      </w:r>
      <w:r>
        <w:rPr>
          <w:rStyle w:val="VerbatimChar"/>
        </w:rPr>
        <w:t xml:space="preserve">CANTON_ADMIN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primitives. The transition</w:t>
      </w:r>
      <w:r>
        <w:t xml:space="preserve"> </w:t>
      </w:r>
      <w:r>
        <w:t xml:space="preserve">to on-ledger multi-sig or a multi-hosted party is explicitly deferred to M3,</w:t>
      </w:r>
      <w:r>
        <w:t xml:space="preserve"> </w:t>
      </w:r>
      <w:r>
        <w:t xml:space="preserve">keeping the M1 core small, readable, and secure. (The access-control library</w:t>
      </w:r>
      <w:r>
        <w:t xml:space="preserve"> </w:t>
      </w:r>
      <w:r>
        <w:t xml:space="preserve">itself — role-admin delegation and the timelocked admin handoff — is in M1</w:t>
      </w:r>
      <w:r>
        <w:t xml:space="preserve"> </w:t>
      </w:r>
      <w:r>
        <w:t xml:space="preserve">scope; only the multi-sig</w:t>
      </w:r>
      <w:r>
        <w:t xml:space="preserve"> </w:t>
      </w:r>
      <w:r>
        <w:rPr>
          <w:i/>
          <w:iCs/>
        </w:rPr>
        <w:t xml:space="preserve">signing</w:t>
      </w:r>
      <w:r>
        <w:t xml:space="preserve"> </w:t>
      </w:r>
      <w:r>
        <w:t xml:space="preserve">model is deferred.)</w:t>
      </w:r>
    </w:p>
    <w:p>
      <w:pPr>
        <w:pStyle w:val="BlockText"/>
      </w:pPr>
      <w:r>
        <w:rPr>
          <w:rStyle w:val="VerbatimChar"/>
          <w:b/>
          <w:bCs/>
        </w:rPr>
        <w:t xml:space="preserve">[FUTURE]</w:t>
      </w:r>
      <w:r>
        <w:rPr>
          <w:b/>
          <w:bCs/>
        </w:rPr>
        <w:t xml:space="preserve"> </w:t>
      </w:r>
      <w:r>
        <w:rPr>
          <w:b/>
          <w:bCs/>
        </w:rPr>
        <w:t xml:space="preserve">institutional internal authorization (maker-checker).</w:t>
      </w:r>
      <w:r>
        <w:t xml:space="preserve"> </w:t>
      </w:r>
      <w:r>
        <w:t xml:space="preserve">An</w:t>
      </w:r>
      <w:r>
        <w:t xml:space="preserve"> </w:t>
      </w:r>
      <w:r>
        <w:t xml:space="preserve">institutional trading desk submitting liquidity typically requires a</w:t>
      </w:r>
      <w:r>
        <w:t xml:space="preserve"> </w:t>
      </w:r>
      <w:r>
        <w:t xml:space="preserve">two-tier internal control — a junior trader (maker) proposes, a risk officer</w:t>
      </w:r>
      <w:r>
        <w:t xml:space="preserve"> </w:t>
      </w:r>
      <w:r>
        <w:t xml:space="preserve">(checker) approves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 order reaches the venue. This is an internal</w:t>
      </w:r>
      <w:r>
        <w:t xml:space="preserve"> </w:t>
      </w:r>
      <w:r>
        <w:t xml:space="preserve">control, not a venue mechanism: it is expressed with the</w:t>
      </w:r>
      <w:r>
        <w:t xml:space="preserve"> </w:t>
      </w:r>
      <w:r>
        <w:rPr>
          <w:b/>
          <w:bCs/>
        </w:rPr>
        <w:t xml:space="preserve">propose-accept</w:t>
      </w:r>
      <w:r>
        <w:rPr>
          <w:b/>
          <w:bCs/>
        </w:rPr>
        <w:t xml:space="preserve"> </w:t>
      </w:r>
      <w:r>
        <w:rPr>
          <w:b/>
          <w:bCs/>
        </w:rPr>
        <w:t xml:space="preserve">(two-step handshake)</w:t>
      </w:r>
      <w:r>
        <w:t xml:space="preserve"> </w:t>
      </w:r>
      <w:r>
        <w:t xml:space="preserve">pattern already native to Canton, gated by distinct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role grants for the maker and checker parties, and it</w:t>
      </w:r>
      <w:r>
        <w:t xml:space="preserve"> </w:t>
      </w:r>
      <w:r>
        <w:t xml:space="preserve">leaves the venue's external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 </w:t>
      </w:r>
      <w:r>
        <w:t xml:space="preserve">interface unchanged (the venue still</w:t>
      </w:r>
      <w:r>
        <w:t xml:space="preserve"> </w:t>
      </w:r>
      <w:r>
        <w:t xml:space="preserve">sees a single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). It is an explicit SCU extension point,</w:t>
      </w:r>
      <w:r>
        <w:t xml:space="preserve"> </w:t>
      </w:r>
      <w:r>
        <w:t xml:space="preserve">not M1 scope, and is not a separate settlement or authority path.</w:t>
      </w:r>
    </w:p>
    <w:bookmarkEnd w:id="26"/>
    <w:bookmarkStart w:id="27" w:name="the-scu-extension-story"/>
    <w:p>
      <w:pPr>
        <w:pStyle w:val="Heading3"/>
      </w:pPr>
      <w:r>
        <w:t xml:space="preserve">The SCU Extension Story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non-negotiable SCU rule</w:t>
      </w:r>
      <w:r>
        <w:t xml:space="preserve">: an existing choice's arguments must never be</w:t>
      </w:r>
      <w:r>
        <w:t xml:space="preserve"> </w:t>
      </w:r>
      <w:r>
        <w:t xml:space="preserve">mutated to require a new field. Extensions are managed via appended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serializable types, and</w:t>
      </w:r>
      <w:r>
        <w:t xml:space="preserve"> </w:t>
      </w:r>
      <w:r>
        <w:rPr>
          <w:b/>
          <w:bCs/>
        </w:rPr>
        <w:t xml:space="preserve">new, parallel choices</w:t>
      </w:r>
      <w:r>
        <w:t xml:space="preserve">.</w:t>
      </w:r>
    </w:p>
    <w:p>
      <w:pPr>
        <w:pStyle w:val="BodyText"/>
      </w:pPr>
      <w:r>
        <w:t xml:space="preserve">This also dictates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RI gains new interfaces. Daml 3.x removed</w:t>
      </w:r>
      <w:r>
        <w:t xml:space="preserve"> </w:t>
      </w:r>
      <w:r>
        <w:rPr>
          <w:b/>
          <w:bCs/>
        </w:rPr>
        <w:t xml:space="preserve">retroactive interface instances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(the mechanism that</w:t>
      </w:r>
      <w:r>
        <w:t xml:space="preserve"> </w:t>
      </w:r>
      <w:r>
        <w:t xml:space="preserve">retroactively bolted an interface onto an already-deployed template), because</w:t>
      </w:r>
      <w:r>
        <w:t xml:space="preserve"> </w:t>
      </w:r>
      <w:r>
        <w:t xml:space="preserve">they broke clean upgrade paths. The RI therefore commits to forward-compatible</w:t>
      </w:r>
      <w:r>
        <w:t xml:space="preserve"> </w:t>
      </w:r>
      <w:r>
        <w:t xml:space="preserve">interface hierarchies from day one: a new compliance or reporting facet is added</w:t>
      </w:r>
      <w:r>
        <w:t xml:space="preserve"> </w:t>
      </w:r>
      <w:r>
        <w:t xml:space="preserve">by a new template implementing the interface plus a new choice, never by</w:t>
      </w:r>
      <w:r>
        <w:t xml:space="preserve"> </w:t>
      </w:r>
      <w:r>
        <w:t xml:space="preserve">retroactively re-instancing an existing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.</w:t>
      </w:r>
    </w:p>
    <w:p>
      <w:pPr>
        <w:pStyle w:val="BodyText"/>
      </w:pPr>
      <w:r>
        <w:t xml:space="preserve">Consider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. Initially, identity gating is handled by inclusion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. To later add granular jurisdictional compliance</w:t>
      </w:r>
      <w:r>
        <w:t xml:space="preserve"> </w:t>
      </w:r>
      <w:r>
        <w:t xml:space="preserve">(e.g. US users may not trade a given security token),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mutated. Instead a new choice</w:t>
      </w:r>
      <w:r>
        <w:t xml:space="preserve"> </w:t>
      </w:r>
      <w:r>
        <w:rPr>
          <w:rStyle w:val="VerbatimChar"/>
        </w:rPr>
        <w:t xml:space="preserve">PoolRules_SwapWithJurisdiction</w:t>
      </w:r>
      <w:r>
        <w:t xml:space="preserve"> </w:t>
      </w:r>
      <w:r>
        <w:t xml:space="preserve">is introduced.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 </w:t>
      </w:r>
      <w:r>
        <w:t xml:space="preserve">remains active and can be softly deprecated by</w:t>
      </w:r>
      <w:r>
        <w:t xml:space="preserve"> </w:t>
      </w:r>
      <w:r>
        <w:t xml:space="preserve">frontend routing. The new choice uses a newly appended</w:t>
      </w:r>
      <w:r>
        <w:t xml:space="preserve"> </w:t>
      </w:r>
      <w:r>
        <w:rPr>
          <w:rStyle w:val="VerbatimChar"/>
        </w:rPr>
        <w:t xml:space="preserve">Optional JurisdictionalComplianceHook</w:t>
      </w:r>
      <w:r>
        <w:t xml:space="preserve"> </w:t>
      </w:r>
      <w:r>
        <w:t xml:space="preserve">field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to enforce the</w:t>
      </w:r>
      <w:r>
        <w:t xml:space="preserve"> </w:t>
      </w:r>
      <w:r>
        <w:t xml:space="preserve">advanced logic — layering compliance without disrupting in-flight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contracts, honoring the keyless, non-mutating nature of</w:t>
      </w:r>
      <w:r>
        <w:t xml:space="preserve"> </w:t>
      </w:r>
      <w:r>
        <w:t xml:space="preserve">Daml-LF 2.1.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975f165a8f4846d4f55a69ab47eeb91102f08e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Interfaces are prioritized by Readability, Simplicity, Security, and</w:t>
      </w:r>
      <w:r>
        <w:t xml:space="preserve"> </w:t>
      </w:r>
      <w:r>
        <w:t xml:space="preserve">Auditability. Code below is idiomatic Daml that composes with the real</w:t>
      </w:r>
      <w:r>
        <w:t xml:space="preserve"> </w:t>
      </w:r>
      <w:r>
        <w:t xml:space="preserve">components above. Templates introduced by the RI (not present in the spine</w:t>
      </w:r>
      <w:r>
        <w:t xml:space="preserve"> </w:t>
      </w:r>
      <w:r>
        <w:t xml:space="preserve">today) 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.</w:t>
      </w:r>
    </w:p>
    <w:bookmarkStart w:id="29" w:name="Xb5fd76e225c9f2fa07316360fa6647dd0a8539c"/>
    <w:p>
      <w:pPr>
        <w:pStyle w:val="Heading3"/>
      </w:pPr>
      <w:r>
        <w:t xml:space="preserve">4.1 Component: Pool State and Configuration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represents the constant-product AMM state. It uses the decentralized</w:t>
      </w:r>
      <w:r>
        <w:t xml:space="preserve"> </w:t>
      </w:r>
      <w:r>
        <w:t xml:space="preserve">attestor pool and the spine's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data record as an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SCU extension point.</w:t>
      </w:r>
    </w:p>
    <w:p>
      <w:pPr>
        <w:pStyle w:val="SourceCode"/>
      </w:pPr>
      <w:r>
        <w:rPr>
          <w:rStyle w:val="NormalTok"/>
        </w:rPr>
        <w:t xml:space="preserve">module CantonDex.Dex.Pool where</w:t>
      </w:r>
      <w:r>
        <w:br/>
      </w:r>
      <w:r>
        <w:br/>
      </w:r>
      <w:r>
        <w:rPr>
          <w:rStyle w:val="NormalTok"/>
        </w:rPr>
        <w:t xml:space="preserve">import OpenZeppelin.Experimental.Settlement.Cip112  -- spine: D1ComplianceHook, etc.</w:t>
      </w:r>
      <w:r>
        <w:br/>
      </w:r>
      <w:r>
        <w:br/>
      </w:r>
      <w:r>
        <w:rPr>
          <w:rStyle w:val="NormalTok"/>
        </w:rPr>
        <w:t xml:space="preserve">-- | The core state of the constant-product AMM. [FUTURE] RI-level template.</w:t>
      </w:r>
      <w:r>
        <w:br/>
      </w:r>
      <w:r>
        <w:rPr>
          <w:rStyle w:val="NormalTok"/>
        </w:rPr>
        <w:t xml:space="preserve">template Pool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lpRegistrar : Party</w:t>
      </w:r>
      <w:r>
        <w:br/>
      </w:r>
      <w:r>
        <w:rPr>
          <w:rStyle w:val="NormalTok"/>
        </w:rPr>
        <w:t xml:space="preserve">    attestorPool : [Party]            -- explicitly configured consensus topology</w:t>
      </w:r>
      <w:r>
        <w:br/>
      </w:r>
      <w:r>
        <w:rPr>
          <w:rStyle w:val="NormalTok"/>
        </w:rPr>
        <w:t xml:space="preserve">    baseInstrumentId : Text</w:t>
      </w:r>
      <w:r>
        <w:br/>
      </w:r>
      <w:r>
        <w:rPr>
          <w:rStyle w:val="NormalTok"/>
        </w:rPr>
        <w:t xml:space="preserve">    quoteInstrumentId : Text</w:t>
      </w:r>
      <w:r>
        <w:br/>
      </w:r>
      <w:r>
        <w:rPr>
          <w:rStyle w:val="NormalTok"/>
        </w:rPr>
        <w:t xml:space="preserve">    baseReserves : Decimal</w:t>
      </w:r>
      <w:r>
        <w:br/>
      </w:r>
      <w:r>
        <w:rPr>
          <w:rStyle w:val="NormalTok"/>
        </w:rPr>
        <w:t xml:space="preserve">    quoteReserves : Decimal</w:t>
      </w:r>
      <w:r>
        <w:br/>
      </w:r>
      <w:r>
        <w:rPr>
          <w:rStyle w:val="NormalTok"/>
        </w:rPr>
        <w:t xml:space="preserve">    feeBps : Decimal</w:t>
      </w:r>
      <w:r>
        <w:br/>
      </w:r>
      <w:r>
        <w:rPr>
          <w:rStyle w:val="NormalTok"/>
        </w:rPr>
        <w:t xml:space="preserve">    -- SCU extension point: forward compatibility for D1/D3 overlays.</w:t>
      </w:r>
      <w:r>
        <w:br/>
      </w:r>
      <w:r>
        <w:rPr>
          <w:rStyle w:val="NormalTok"/>
        </w:rPr>
        <w:t xml:space="preserve">    -- The spine's D1ComplianceHook is a config record (hookRef,</w:t>
      </w:r>
      <w:r>
        <w:br/>
      </w:r>
      <w:r>
        <w:rPr>
          <w:rStyle w:val="NormalTok"/>
        </w:rPr>
        <w:t xml:space="preserve">    -- requiresPerSettlementReference), not a contract id.</w:t>
      </w:r>
      <w:r>
        <w:br/>
      </w:r>
      <w:r>
        <w:rPr>
          <w:rStyle w:val="NormalTok"/>
        </w:rPr>
        <w:t xml:space="preserve">    d1ComplianceHook : Optional D1ComplianceHook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operator, lpRegistrar</w:t>
      </w:r>
      <w:r>
        <w:br/>
      </w:r>
      <w:r>
        <w:rPr>
          <w:rStyle w:val="NormalTok"/>
        </w:rPr>
        <w:t xml:space="preserve">    signatory attestorPool            -- joint attestor signatories</w:t>
      </w:r>
      <w:r>
        <w:br/>
      </w:r>
      <w:r>
        <w:rPr>
          <w:rStyle w:val="NormalTok"/>
        </w:rPr>
        <w:t xml:space="preserve">    observer operator                 -- read visibility for indexer projections</w:t>
      </w:r>
      <w:r>
        <w:br/>
      </w:r>
      <w:r>
        <w:br/>
      </w:r>
      <w:r>
        <w:rPr>
          <w:rStyle w:val="NormalTok"/>
        </w:rPr>
        <w:t xml:space="preserve">    -- Security guard: mathematical sanity of basic pool state.</w:t>
      </w:r>
      <w:r>
        <w:br/>
      </w:r>
      <w:r>
        <w:rPr>
          <w:rStyle w:val="NormalTok"/>
        </w:rPr>
        <w:t xml:space="preserve">    ensure</w:t>
      </w:r>
      <w:r>
        <w:br/>
      </w:r>
      <w:r>
        <w:rPr>
          <w:rStyle w:val="NormalTok"/>
        </w:rPr>
        <w:t xml:space="preserve">      baseReserves &gt;= 0.0 </w:t>
      </w:r>
      <w:r>
        <w:rPr>
          <w:rStyle w:val="ErrorTok"/>
        </w:rPr>
        <w:t xml:space="preserve">&amp;&amp;</w:t>
      </w:r>
      <w:r>
        <w:br/>
      </w:r>
      <w:r>
        <w:rPr>
          <w:rStyle w:val="NormalTok"/>
        </w:rPr>
        <w:t xml:space="preserve">      quoteReserves &gt;= 0.0 </w:t>
      </w:r>
      <w:r>
        <w:rPr>
          <w:rStyle w:val="ErrorTok"/>
        </w:rPr>
        <w:t xml:space="preserve">&amp;&amp;</w:t>
      </w:r>
      <w:r>
        <w:br/>
      </w:r>
      <w:r>
        <w:rPr>
          <w:rStyle w:val="NormalTok"/>
        </w:rPr>
        <w:t xml:space="preserve">      feeBps &gt;= 0.0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feeBps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= 10000.0</w:t>
      </w:r>
    </w:p>
    <w:bookmarkEnd w:id="29"/>
    <w:bookmarkStart w:id="30" w:name="X56b4735266212db8e38d793e1e77de4b9974f7c"/>
    <w:p>
      <w:pPr>
        <w:pStyle w:val="Heading3"/>
      </w:pPr>
      <w:r>
        <w:t xml:space="preserve">4.2 Component: Swap Execution Rules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FirstParagraph"/>
      </w:pPr>
      <w:r>
        <w:rPr>
          <w:rStyle w:val="VerbatimChar"/>
        </w:rPr>
        <w:t xml:space="preserve">PoolRules</w:t>
      </w:r>
      <w:r>
        <w:t xml:space="preserve"> </w:t>
      </w:r>
      <w:r>
        <w:t xml:space="preserve">decouples dynamic state from static execution permissions,</w:t>
      </w:r>
      <w:r>
        <w:t xml:space="preserve"> </w:t>
      </w:r>
      <w:r>
        <w:t xml:space="preserve">maximizing auditability and preventing state bloat during high-frequency</w:t>
      </w:r>
      <w:r>
        <w:t xml:space="preserve"> </w:t>
      </w:r>
      <w:r>
        <w:t xml:space="preserve">trading.</w:t>
      </w:r>
    </w:p>
    <w:p>
      <w:pPr>
        <w:pStyle w:val="SourceCode"/>
      </w:pPr>
      <w:r>
        <w:rPr>
          <w:rStyle w:val="NormalTok"/>
        </w:rPr>
        <w:t xml:space="preserve">module CantonDex.Dex.PoolRules where</w:t>
      </w:r>
      <w:r>
        <w:br/>
      </w:r>
      <w:r>
        <w:br/>
      </w:r>
      <w:r>
        <w:rPr>
          <w:rStyle w:val="NormalTok"/>
        </w:rPr>
        <w:t xml:space="preserve">import OpenZeppelin.Experimental.Settlement.Cip112</w:t>
      </w:r>
      <w:r>
        <w:br/>
      </w:r>
      <w:r>
        <w:rPr>
          <w:rStyle w:val="NormalTok"/>
        </w:rPr>
        <w:t xml:space="preserve">import OpenZeppelin.Pausable (PauseState, whenNotPaused)</w:t>
      </w:r>
      <w:r>
        <w:br/>
      </w:r>
      <w:r>
        <w:br/>
      </w:r>
      <w:r>
        <w:rPr>
          <w:rStyle w:val="NormalTok"/>
        </w:rPr>
        <w:t xml:space="preserve">template PoolRules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attestorPool : [Party]</w:t>
      </w:r>
      <w:r>
        <w:br/>
      </w:r>
      <w:r>
        <w:rPr>
          <w:rStyle w:val="NormalTok"/>
        </w:rPr>
        <w:t xml:space="preserve">    poolId : ContractId Pool</w:t>
      </w:r>
      <w:r>
        <w:br/>
      </w:r>
      <w:r>
        <w:rPr>
          <w:rStyle w:val="NormalTok"/>
        </w:rPr>
        <w:t xml:space="preserve">    pauseStateId : ContractId PauseState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operator</w:t>
      </w:r>
      <w:r>
        <w:br/>
      </w:r>
      <w:r>
        <w:rPr>
          <w:rStyle w:val="NormalTok"/>
        </w:rPr>
        <w:t xml:space="preserve">    signatory attestorPool</w:t>
      </w:r>
      <w:r>
        <w:br/>
      </w:r>
      <w:r>
        <w:br/>
      </w:r>
      <w:r>
        <w:rPr>
          <w:rStyle w:val="NormalTok"/>
        </w:rPr>
        <w:t xml:space="preserve">    -- SCU adherence: old choice's arguments stay stable.</w:t>
      </w:r>
      <w:r>
        <w:br/>
      </w:r>
      <w:r>
        <w:rPr>
          <w:rStyle w:val="NormalTok"/>
        </w:rPr>
        <w:t xml:space="preserve">    nonconsuming choice PoolRules_RequestSwap : ContractId AllocationRequest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trader : Party</w:t>
      </w:r>
      <w:r>
        <w:br/>
      </w:r>
      <w:r>
        <w:rPr>
          <w:rStyle w:val="NormalTok"/>
        </w:rPr>
        <w:t xml:space="preserve">        inputInstrumentId : Text</w:t>
      </w:r>
      <w:r>
        <w:br/>
      </w:r>
      <w:r>
        <w:rPr>
          <w:rStyle w:val="NormalTok"/>
        </w:rPr>
        <w:t xml:space="preserve">        inputAmount : Decimal</w:t>
      </w:r>
      <w:r>
        <w:br/>
      </w:r>
      <w:r>
        <w:rPr>
          <w:rStyle w:val="NormalTok"/>
        </w:rPr>
        <w:t xml:space="preserve">        minOutputAmount : Decimal</w:t>
      </w:r>
      <w:r>
        <w:br/>
      </w:r>
      <w:r>
        <w:rPr>
          <w:rStyle w:val="NormalTok"/>
        </w:rPr>
        <w:t xml:space="preserve">        settlementFactoryId : ContractId SettlementFactory</w:t>
      </w:r>
      <w:r>
        <w:br/>
      </w:r>
      <w:r>
        <w:rPr>
          <w:rStyle w:val="NormalTok"/>
        </w:rPr>
        <w:t xml:space="preserve">      controller trader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pause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pauseStateId</w:t>
      </w:r>
      <w:r>
        <w:br/>
      </w:r>
      <w:r>
        <w:rPr>
          <w:rStyle w:val="NormalTok"/>
        </w:rPr>
        <w:t xml:space="preserve">        whenNotPaused pause                       -- block intent if venue halted</w:t>
      </w:r>
      <w:r>
        <w:br/>
      </w:r>
      <w:r>
        <w:rPr>
          <w:rStyle w:val="NormalTok"/>
        </w:rPr>
        <w:t xml:space="preserve">        -- Create the per-party request on the spine; visibility is the</w:t>
      </w:r>
      <w:r>
        <w:br/>
      </w:r>
      <w:r>
        <w:rPr>
          <w:rStyle w:val="NormalTok"/>
        </w:rPr>
        <w:t xml:space="preserve">        -- trader's projection only.</w:t>
      </w:r>
      <w:r>
        <w:br/>
      </w:r>
      <w:r>
        <w:rPr>
          <w:rStyle w:val="NormalTok"/>
        </w:rPr>
        <w:t xml:space="preserve">        exercise settlementFactoryId SettlementFactory_CreateAllocationRequest with ..</w:t>
      </w:r>
      <w:r>
        <w:br/>
      </w:r>
      <w:r>
        <w:br/>
      </w:r>
      <w:r>
        <w:rPr>
          <w:rStyle w:val="NormalTok"/>
        </w:rPr>
        <w:t xml:space="preserve">    -- Atomic DvP executed strictly via SettleBatch.</w:t>
      </w:r>
      <w:r>
        <w:br/>
      </w:r>
      <w:r>
        <w:rPr>
          <w:rStyle w:val="NormalTok"/>
        </w:rPr>
        <w:t xml:space="preserve">    nonconsuming choice PoolRules_Swap : (ContractId SettlementReceipt, ContractId Pool)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allocationId : ContractId Allocation</w:t>
      </w:r>
      <w:r>
        <w:br/>
      </w:r>
      <w:r>
        <w:rPr>
          <w:rStyle w:val="NormalTok"/>
        </w:rPr>
        <w:t xml:space="preserve">        requestId : ContractId AllocationRequest</w:t>
      </w:r>
      <w:r>
        <w:br/>
      </w:r>
      <w:r>
        <w:rPr>
          <w:rStyle w:val="NormalTok"/>
        </w:rPr>
        <w:t xml:space="preserve">        settlementFactoryId : ContractId SettlementFactory</w:t>
      </w:r>
      <w:r>
        <w:br/>
      </w:r>
      <w:r>
        <w:rPr>
          <w:rStyle w:val="NormalTok"/>
        </w:rPr>
        <w:t xml:space="preserve">      controller operator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pool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poolId</w:t>
      </w:r>
      <w:r>
        <w:br/>
      </w:r>
      <w:r>
        <w:br/>
      </w:r>
      <w:r>
        <w:rPr>
          <w:rStyle w:val="NormalTok"/>
        </w:rPr>
        <w:t xml:space="preserve">        -- 1. D1 compliance (Shape B): node-side attestation is required at</w:t>
      </w:r>
      <w:r>
        <w:br/>
      </w:r>
      <w:r>
        <w:rPr>
          <w:rStyle w:val="NormalTok"/>
        </w:rPr>
        <w:t xml:space="preserve">        --    SettleBatch time; the optional hook records that requirement.</w:t>
      </w:r>
      <w:r>
        <w:br/>
      </w:r>
      <w:r>
        <w:rPr>
          <w:rStyle w:val="NormalTok"/>
        </w:rPr>
        <w:t xml:space="preserve">        --    (On-ledger attestation verification is a [FUTURE] SCU add-on.)</w:t>
      </w:r>
      <w:r>
        <w:br/>
      </w:r>
      <w:r>
        <w:br/>
      </w:r>
      <w:r>
        <w:rPr>
          <w:rStyle w:val="NormalTok"/>
        </w:rPr>
        <w:t xml:space="preserve">        -- 2. Constant-product invariant (x · y = k) accounting for feeBps is</w:t>
      </w:r>
      <w:r>
        <w:br/>
      </w:r>
      <w:r>
        <w:rPr>
          <w:rStyle w:val="NormalTok"/>
        </w:rPr>
        <w:t xml:space="preserve">        --    validated by the attestorPool before they sign; the choice also</w:t>
      </w:r>
      <w:r>
        <w:br/>
      </w:r>
      <w:r>
        <w:rPr>
          <w:rStyle w:val="NormalTok"/>
        </w:rPr>
        <w:t xml:space="preserve">        --    re-checks the proposed reserves as an `assert`.</w:t>
      </w:r>
      <w:r>
        <w:br/>
      </w:r>
      <w:r>
        <w:br/>
      </w:r>
      <w:r>
        <w:rPr>
          <w:rStyle w:val="NormalTok"/>
        </w:rPr>
        <w:t xml:space="preserve">        -- 3. Atomic delivery-vs-payment via the required spine entrypoint.</w:t>
      </w:r>
      <w:r>
        <w:br/>
      </w:r>
      <w:r>
        <w:rPr>
          <w:rStyle w:val="NormalTok"/>
        </w:rPr>
        <w:t xml:space="preserve">        --    extraTransferLegSides pins the concrete legs to prevent smuggling.</w:t>
      </w:r>
      <w:r>
        <w:br/>
      </w:r>
      <w:r>
        <w:rPr>
          <w:rStyle w:val="NormalTok"/>
        </w:rPr>
        <w:t xml:space="preserve">        receipt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settlementFactoryId SettlementFactory_SettleBatch with</w:t>
      </w:r>
      <w:r>
        <w:br/>
      </w:r>
      <w:r>
        <w:rPr>
          <w:rStyle w:val="NormalTok"/>
        </w:rPr>
        <w:t xml:space="preserve">          allocations = [allocationId]</w:t>
      </w:r>
      <w:r>
        <w:br/>
      </w:r>
      <w:r>
        <w:rPr>
          <w:rStyle w:val="NormalTok"/>
        </w:rPr>
        <w:t xml:space="preserve">          requests = [requestId]</w:t>
      </w:r>
      <w:r>
        <w:br/>
      </w:r>
      <w:r>
        <w:rPr>
          <w:rStyle w:val="NormalTok"/>
        </w:rPr>
        <w:t xml:space="preserve">          -- iterated-settlement parameters (extraTransferLegSides,</w:t>
      </w:r>
      <w:r>
        <w:br/>
      </w:r>
      <w:r>
        <w:rPr>
          <w:rStyle w:val="NormalTok"/>
        </w:rPr>
        <w:t xml:space="preserve">          -- nextIterationFunding) defined here</w:t>
      </w:r>
      <w:r>
        <w:br/>
      </w:r>
      <w:r>
        <w:br/>
      </w:r>
      <w:r>
        <w:rPr>
          <w:rStyle w:val="NormalTok"/>
        </w:rPr>
        <w:t xml:space="preserve">        newPool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create pool with</w:t>
      </w:r>
      <w:r>
        <w:br/>
      </w:r>
      <w:r>
        <w:rPr>
          <w:rStyle w:val="NormalTok"/>
        </w:rPr>
        <w:t xml:space="preserve">          baseReserves = pool.baseReserves   -- updated per computed swap deltas</w:t>
      </w:r>
      <w:r>
        <w:br/>
      </w:r>
      <w:r>
        <w:rPr>
          <w:rStyle w:val="NormalTok"/>
        </w:rPr>
        <w:t xml:space="preserve">          quoteReserves = pool.quoteReserves</w:t>
      </w:r>
      <w:r>
        <w:br/>
      </w:r>
      <w:r>
        <w:rPr>
          <w:rStyle w:val="NormalTok"/>
        </w:rPr>
        <w:t xml:space="preserve">        return (receipt, newPool)</w:t>
      </w:r>
    </w:p>
    <w:bookmarkEnd w:id="30"/>
    <w:bookmarkStart w:id="31" w:name="X9c2db795256f8d7f24a48aa2bf8ef293b29bebf"/>
    <w:p>
      <w:pPr>
        <w:pStyle w:val="Heading3"/>
      </w:pPr>
      <w:r>
        <w:t xml:space="preserve">4.3 Component: D2 Seizure and D4 Authority</w:t>
      </w:r>
    </w:p>
    <w:p>
      <w:pPr>
        <w:pStyle w:val="FirstParagraph"/>
      </w:pPr>
      <w:r>
        <w:t xml:space="preserve">D2 seizure uses the</w:t>
      </w:r>
      <w:r>
        <w:t xml:space="preserve"> </w:t>
      </w:r>
      <w:r>
        <w:rPr>
          <w:b/>
          <w:bCs/>
        </w:rPr>
        <w:t xml:space="preserve">real spine choices</w:t>
      </w:r>
      <w:r>
        <w:t xml:space="preserve">, 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. There is no separate</w:t>
      </w:r>
      <w:r>
        <w:t xml:space="preserve"> </w:t>
      </w:r>
      <w:r>
        <w:rPr>
          <w:rStyle w:val="VerbatimChar"/>
        </w:rPr>
        <w:t xml:space="preserve">ExecuteSeizure</w:t>
      </w:r>
      <w:r>
        <w:t xml:space="preserve"> </w:t>
      </w:r>
      <w:r>
        <w:t xml:space="preserve">template — the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is a config record carrying the 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, and the action runs on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itself.</w:t>
      </w:r>
    </w:p>
    <w:p>
      <w:pPr>
        <w:pStyle w:val="SourceCode"/>
      </w:pPr>
      <w:r>
        <w:rPr>
          <w:rStyle w:val="NormalTok"/>
        </w:rPr>
        <w:t xml:space="preserve">-- [IMPLEMENTED] spine config record (OpenZeppelin.Experimental.Settlement.Cip112):</w:t>
      </w:r>
      <w:r>
        <w:br/>
      </w:r>
      <w:r>
        <w:rPr>
          <w:rStyle w:val="NormalTok"/>
        </w:rPr>
        <w:t xml:space="preserve">--   data D2SeizureHook = D2SeizureHook with</w:t>
      </w:r>
      <w:r>
        <w:br/>
      </w:r>
      <w:r>
        <w:rPr>
          <w:rStyle w:val="NormalTok"/>
        </w:rPr>
        <w:t xml:space="preserve">--     seizureCaseRef : Text</w:t>
      </w:r>
      <w:r>
        <w:br/>
      </w:r>
      <w:r>
        <w:rPr>
          <w:rStyle w:val="NormalTok"/>
        </w:rPr>
        <w:t xml:space="preserve">--     custodianDestination : Account   -- admin-preset; never burn, never return-to-sender</w:t>
      </w:r>
      <w:r>
        <w:br/>
      </w:r>
      <w:r>
        <w:rPr>
          <w:rStyle w:val="NormalTok"/>
        </w:rPr>
        <w:t xml:space="preserve">--     inFlightHandlingStatus : Text</w:t>
      </w:r>
      <w:r>
        <w:br/>
      </w:r>
      <w:r>
        <w:rPr>
          <w:rStyle w:val="NormalTok"/>
        </w:rPr>
        <w:t xml:space="preserve">--</w:t>
      </w:r>
      <w:r>
        <w:br/>
      </w:r>
      <w:r>
        <w:rPr>
          <w:rStyle w:val="NormalTok"/>
        </w:rPr>
        <w:t xml:space="preserve">-- [IMPLEMENTED] capability (single-admin authority, D4):</w:t>
      </w:r>
      <w:r>
        <w:br/>
      </w:r>
      <w:r>
        <w:rPr>
          <w:rStyle w:val="NormalTok"/>
        </w:rPr>
        <w:t xml:space="preserve">--   template BurnerCapability with</w:t>
      </w:r>
      <w:r>
        <w:br/>
      </w:r>
      <w:r>
        <w:rPr>
          <w:rStyle w:val="NormalTok"/>
        </w:rPr>
        <w:t xml:space="preserve">--     admin : Party; assignee : Party</w:t>
      </w:r>
      <w:r>
        <w:br/>
      </w:r>
      <w:r>
        <w:rPr>
          <w:rStyle w:val="NormalTok"/>
        </w:rPr>
        <w:t xml:space="preserve">--     instrumentScope : Optional InstrumentId; featureFlag : Text</w:t>
      </w:r>
      <w:r>
        <w:br/>
      </w:r>
      <w:r>
        <w:br/>
      </w:r>
      <w:r>
        <w:rPr>
          <w:rStyle w:val="NormalTok"/>
        </w:rPr>
        <w:t xml:space="preserve">-- Seizure of an in-flight allocation (two real choices on `Allocation`):</w:t>
      </w:r>
      <w:r>
        <w:br/>
      </w:r>
      <w:r>
        <w:rPr>
          <w:rStyle w:val="NormalTok"/>
        </w:rPr>
        <w:t xml:space="preserve">--   1. Block settlement of the targeted allocation:</w:t>
      </w:r>
      <w:r>
        <w:br/>
      </w:r>
      <w:r>
        <w:rPr>
          <w:rStyle w:val="NormalTok"/>
        </w:rPr>
        <w:t xml:space="preserve">--        exercise allocationId Allocation_MarkD2InFlightSeizure with seizureHook = ...</w:t>
      </w:r>
      <w:r>
        <w:br/>
      </w:r>
      <w:r>
        <w:rPr>
          <w:rStyle w:val="NormalTok"/>
        </w:rPr>
        <w:t xml:space="preserve">--   2. Lock-and-sweep to the preset custodian (BurnerCapability-gated):</w:t>
      </w:r>
      <w:r>
        <w:br/>
      </w:r>
      <w:r>
        <w:rPr>
          <w:rStyle w:val="NormalTok"/>
        </w:rPr>
        <w:t xml:space="preserve">--        exercise allocationId Allocation_SweepD2InFlightSeizure with</w:t>
      </w:r>
      <w:r>
        <w:br/>
      </w:r>
      <w:r>
        <w:rPr>
          <w:rStyle w:val="NormalTok"/>
        </w:rPr>
        <w:t xml:space="preserve">--          burnerCap = burnerCapId          -- proves D4 single-admin authority</w:t>
      </w:r>
      <w:r>
        <w:br/>
      </w:r>
      <w:r>
        <w:rPr>
          <w:rStyle w:val="NormalTok"/>
        </w:rPr>
        <w:t xml:space="preserve">--          -- destination is the hook's custodianDestination; the choice fails</w:t>
      </w:r>
      <w:r>
        <w:br/>
      </w:r>
      <w:r>
        <w:rPr>
          <w:rStyle w:val="NormalTok"/>
        </w:rPr>
        <w:t xml:space="preserve">--          -- closed if parameters are tampered with.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Xa4c687f521a51c6c80daec4cfa2a7eba0e2ab75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The following Mermaid diagrams are structurally compatible with the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validation tool (presets:</w:t>
      </w:r>
      <w:r>
        <w:t xml:space="preserve"> </w:t>
      </w:r>
      <w:r>
        <w:rPr>
          <w:i/>
          <w:iCs/>
        </w:rPr>
        <w:t xml:space="preserve">Privacy DEX</w:t>
      </w:r>
      <w:r>
        <w:t xml:space="preserve">,</w:t>
      </w:r>
      <w:r>
        <w:t xml:space="preserve"> </w:t>
      </w:r>
      <w:r>
        <w:rPr>
          <w:i/>
          <w:iCs/>
        </w:rPr>
        <w:t xml:space="preserve">Batch DvP</w:t>
      </w:r>
      <w:r>
        <w:t xml:space="preserve">). Render externally for Google Docs.</w:t>
      </w:r>
    </w:p>
    <w:bookmarkStart w:id="36" w:name="X9788ddf4cbad541b08177611fa6307d56616c5b"/>
    <w:p>
      <w:pPr>
        <w:pStyle w:val="Heading3"/>
      </w:pPr>
      <w:r>
        <w:t xml:space="preserve">5.1 Interface and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01-dex.md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5824000"/>
            <wp:effectExtent b="0" l="0" r="0" t="0"/>
            <wp:docPr descr="Diagram 1" title="" id="34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1-dex.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36"/>
    <w:bookmarkStart w:id="40" w:name="X51627868eb58ce6d4a34bf6284dbfd14cc1bfb9"/>
    <w:p>
      <w:pPr>
        <w:pStyle w:val="Heading3"/>
      </w:pPr>
      <w:r>
        <w:t xml:space="preserve">5.2 Flow-of-Funds Settlement Diagram (Privacy DEX Preset)</w:t>
      </w:r>
    </w:p>
    <w:p>
      <w:pPr>
        <w:pStyle w:val="FirstParagraph"/>
      </w:pPr>
      <w:r>
        <w:t xml:space="preserve">Demonstrates per-authorizer allocation requests and atomic co-settlement via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. The privacy boundary: the trader sees their</w:t>
      </w:r>
      <w:r>
        <w:t xml:space="preserve"> </w:t>
      </w:r>
      <w:r>
        <w:t xml:space="preserve">allocation and receipt, not the backend pool routing or attestor verification.</w:t>
      </w:r>
    </w:p>
    <w:p>
      <w:pPr>
        <w:pStyle w:val="BodyText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01-dex.md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599651"/>
            <wp:effectExtent b="0" l="0" r="0" t="0"/>
            <wp:docPr descr="Diagram 2" title="" id="38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1-dex.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c230615a2d59ee180796a91b949b7f94390f0f0"/>
    <w:p>
      <w:pPr>
        <w:pStyle w:val="Heading2"/>
      </w:pPr>
      <w:r>
        <w:t xml:space="preserve">6. Library Dependencies</w:t>
      </w:r>
    </w:p>
    <w:bookmarkStart w:id="42" w:name="X0b4dd9959c1594bb6a988316f8886de7c539012"/>
    <w:p>
      <w:pPr>
        <w:pStyle w:val="Heading3"/>
      </w:pPr>
      <w:r>
        <w:t xml:space="preserve">6.1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Internal Package</w:t>
            </w:r>
          </w:p>
        </w:tc>
        <w:tc>
          <w:tcPr/>
          <w:p>
            <w:pPr>
              <w:pStyle w:val="Compact"/>
            </w:pPr>
            <w:r>
              <w:t xml:space="preserve">Consumed Templates / Types</w:t>
            </w:r>
          </w:p>
        </w:tc>
        <w:tc>
          <w:tcPr/>
          <w:p>
            <w:pPr>
              <w:pStyle w:val="Compact"/>
            </w:pPr>
            <w:r>
              <w:t xml:space="preserve">Application Context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D4 single-admin authority and role administration.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Lifecycle management and two-step transfer of protocol ownership.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Emergency circuit breaker in</w:t>
            </w:r>
            <w:r>
              <w:t xml:space="preserve"> </w:t>
            </w:r>
            <w:r>
              <w:rPr>
                <w:rStyle w:val="VerbatimChar"/>
              </w:rPr>
              <w:t xml:space="preserve">PoolRules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ToyHolding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D2SeizureHook</w:t>
            </w:r>
          </w:p>
        </w:tc>
        <w:tc>
          <w:tcPr/>
          <w:p>
            <w:pPr>
              <w:pStyle w:val="Compact"/>
            </w:pPr>
            <w:r>
              <w:t xml:space="preserve">The shared settlement engine.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</w:p>
        </w:tc>
        <w:tc>
          <w:tcPr/>
          <w:p>
            <w:pPr>
              <w:pStyle w:val="Compact"/>
            </w:pPr>
            <w:r>
              <w:t xml:space="preserve">Underlying token logic and forced-burn/seizure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t xml:space="preserve">Baseline for future stable-pool extensions and slippage circuit-breaker price feeds.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</w:p>
        </w:tc>
        <w:tc>
          <w:tcPr/>
          <w:p>
            <w:pPr>
              <w:pStyle w:val="Compact"/>
            </w:pPr>
            <w:r>
              <w:t xml:space="preserve">D1/D3 credential gating and verification.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experiment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Typed D3 Shape-B identity,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bookmarkEnd w:id="42"/>
    <w:bookmarkStart w:id="43" w:name="X3e653924352924a1b5e39ea015193e5aacefeb3"/>
    <w:p>
      <w:pPr>
        <w:pStyle w:val="Heading3"/>
      </w:pPr>
      <w:r>
        <w:t xml:space="preserve">6.2 External Dependencies</w:t>
      </w:r>
    </w:p>
    <w:p>
      <w:pPr>
        <w:pStyle w:val="FirstParagraph"/>
      </w:pPr>
      <w:r>
        <w:t xml:space="preserve">The architecture operates against the</w:t>
      </w:r>
      <w:r>
        <w:t xml:space="preserve"> </w:t>
      </w:r>
      <w:r>
        <w:rPr>
          <w:b/>
          <w:bCs/>
        </w:rPr>
        <w:t xml:space="preserve">Splice Token Standard V2</w:t>
      </w:r>
      <w:r>
        <w:t xml:space="preserve"> </w:t>
      </w:r>
      <w:r>
        <w:t xml:space="preserve">interfaces</w:t>
      </w:r>
      <w:r>
        <w:t xml:space="preserve"> </w:t>
      </w:r>
      <w:r>
        <w:t xml:space="preserve">for interoperability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Present implementation:</w:t>
      </w:r>
      <w:r>
        <w:t xml:space="preserve"> </w:t>
      </w:r>
      <w:r>
        <w:t xml:space="preserve">local mocks / stand-ins designed to</w:t>
      </w:r>
      <w:r>
        <w:t xml:space="preserve"> </w:t>
      </w:r>
      <w:r>
        <w:rPr>
          <w:b/>
          <w:bCs/>
        </w:rPr>
        <w:t xml:space="preserve">maximally</w:t>
      </w:r>
      <w:r>
        <w:rPr>
          <w:b/>
          <w:bCs/>
        </w:rPr>
        <w:t xml:space="preserve"> </w:t>
      </w:r>
      <w:r>
        <w:rPr>
          <w:b/>
          <w:bCs/>
        </w:rPr>
        <w:t xml:space="preserve">match the Splice V2 standard interfaces</w:t>
      </w:r>
      <w:r>
        <w:t xml:space="preserve">. Source-of-record pin: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1e34121b…</w:t>
      </w:r>
      <w:r>
        <w:t xml:space="preserve"> </w:t>
      </w:r>
      <w:r>
        <w:t xml:space="preserve">(the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canton-network/splice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token-standard-v2-daml-preview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b91de5d4…</w:t>
      </w:r>
      <w:r>
        <w:t xml:space="preserve"> </w:t>
      </w:r>
      <w:r>
        <w:t xml:space="preserve">"preview" branch is demoted to historical evidence; its V2 DAR set</w:t>
      </w:r>
      <w:r>
        <w:t xml:space="preserve"> </w:t>
      </w:r>
      <w:r>
        <w:t xml:space="preserve">and checksums are catalogued in</w:t>
      </w:r>
      <w:r>
        <w:t xml:space="preserve"> </w:t>
      </w:r>
      <w:r>
        <w:rPr>
          <w:rStyle w:val="VerbatimChar"/>
        </w:rPr>
        <w:t xml:space="preserve">canton-token-template/docs/CIP-0112-EXTENSION-PLAN.md</w:t>
      </w:r>
      <w:r>
        <w:t xml:space="preserve">). This is the</w:t>
      </w:r>
      <w:r>
        <w:t xml:space="preserve"> </w:t>
      </w:r>
      <w:r>
        <w:t xml:space="preserve">workspace-standing decision (RI_RESEARCH_BRIEFING.md): design against</w:t>
      </w:r>
      <w:r>
        <w:t xml:space="preserve"> </w:t>
      </w:r>
      <w:r>
        <w:rPr>
          <w:i/>
          <w:iCs/>
        </w:rPr>
        <w:t xml:space="preserve">interfaces</w:t>
      </w:r>
      <w:r>
        <w:t xml:space="preserve">, not DAR/package-ID pins. The RI interfaces directly against the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 </w:t>
      </w:r>
      <w:r>
        <w:t xml:space="preserve">spine.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Planned migration:</w:t>
      </w:r>
      <w:r>
        <w:t xml:space="preserve"> </w:t>
      </w:r>
      <w:r>
        <w:t xml:space="preserve">once published Splice Token Standard V2 DARs ship and</w:t>
      </w:r>
      <w:r>
        <w:t xml:space="preserve"> </w:t>
      </w:r>
      <w:r>
        <w:t xml:space="preserve">the import gate is cleared (PLAN.md;</w:t>
      </w:r>
      <w:r>
        <w:t xml:space="preserve"> </w:t>
      </w:r>
      <w:r>
        <w:rPr>
          <w:rStyle w:val="VerbatimChar"/>
        </w:rPr>
        <w:t xml:space="preserve">M2_DEX_SCOPE.md</w:t>
      </w:r>
      <w:r>
        <w:t xml:space="preserve"> </w:t>
      </w:r>
      <w:r>
        <w:t xml:space="preserve">§A), the local stand-ins are</w:t>
      </w:r>
      <w:r>
        <w:t xml:space="preserve"> </w:t>
      </w:r>
      <w:r>
        <w:t xml:space="preserve">swapped for the published DARs. Interface-based design is intended to make this</w:t>
      </w:r>
      <w:r>
        <w:t xml:space="preserve"> </w:t>
      </w:r>
      <w:r>
        <w:t xml:space="preserve">a thin substitution.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import remains gated; this report makes no</w:t>
      </w:r>
      <w:r>
        <w:t xml:space="preserve"> </w:t>
      </w:r>
      <w:r>
        <w:t xml:space="preserve">public-API stability, conformance, or release-readiness claim.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afd635958b9f219ac7c7aab416c2f44ad3d0a0a"/>
    <w:p>
      <w:pPr>
        <w:pStyle w:val="Heading2"/>
      </w:pPr>
      <w:r>
        <w:t xml:space="preserve">7. Security &amp; Auditability</w:t>
      </w:r>
    </w:p>
    <w:p>
      <w:pPr>
        <w:pStyle w:val="FirstParagraph"/>
      </w:pPr>
      <w:r>
        <w:t xml:space="preserve">The RI prioritizes verifiable security. Simplicity over complexity minimizes the</w:t>
      </w:r>
      <w:r>
        <w:t xml:space="preserve"> </w:t>
      </w:r>
      <w:r>
        <w:t xml:space="preserve">surface for logic exploits, and Canton's per-party projections create natural</w:t>
      </w:r>
      <w:r>
        <w:t xml:space="preserve"> </w:t>
      </w:r>
      <w:r>
        <w:t xml:space="preserve">containment boundaries.</w:t>
      </w:r>
    </w:p>
    <w:bookmarkStart w:id="45" w:name="X0b8fdc3f82f88fd5edf1be90f3d3ef9ed718a90"/>
    <w:p>
      <w:pPr>
        <w:pStyle w:val="Heading3"/>
      </w:pPr>
      <w:r>
        <w:t xml:space="preserve">7.1 Security Invariants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Non-custodial venue (no unilateral execution).</w:t>
      </w:r>
      <w:r>
        <w:t xml:space="preserve"> </w:t>
      </w:r>
      <w:r>
        <w:t xml:space="preserve">The venue operator never</w:t>
      </w:r>
      <w:r>
        <w:t xml:space="preserve"> </w:t>
      </w:r>
      <w:r>
        <w:t xml:space="preserve">holds custody of, nor any unilateral right to move, trader funds. The trader is</w:t>
      </w:r>
      <w:r>
        <w:t xml:space="preserve"> </w:t>
      </w:r>
      <w:r>
        <w:t xml:space="preserve">the sole party cryptographically able to lock their own holding (via</w:t>
      </w:r>
      <w:r>
        <w:t xml:space="preserve"> </w:t>
      </w:r>
      <w:r>
        <w:rPr>
          <w:rStyle w:val="VerbatimChar"/>
        </w:rPr>
        <w:t xml:space="preserve">AllocationInstruction_Accept</w:t>
      </w:r>
      <w:r>
        <w:t xml:space="preserve">), and the operator can only drive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over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and the</w:t>
      </w:r>
      <w:r>
        <w:t xml:space="preserve"> </w:t>
      </w:r>
      <w:r>
        <w:t xml:space="preserve">trader's own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(min-output bound) — it cannot deviate from the</w:t>
      </w:r>
      <w:r>
        <w:t xml:space="preserve"> </w:t>
      </w:r>
      <w:r>
        <w:t xml:space="preserve">authorized leg, fabricate a transfer the trader did not commit, or indefinitely</w:t>
      </w:r>
      <w:r>
        <w:t xml:space="preserve"> </w:t>
      </w:r>
      <w:r>
        <w:t xml:space="preserve">freeze a trader's own holding (the trader can always settle or reclaim it</w:t>
      </w:r>
      <w:r>
        <w:t xml:space="preserve"> </w:t>
      </w:r>
      <w:r>
        <w:t xml:space="preserve">independently). This is Daml's</w:t>
      </w:r>
      <w:r>
        <w:t xml:space="preserve"> </w:t>
      </w:r>
      <w:r>
        <w:rPr>
          <w:b/>
          <w:bCs/>
        </w:rPr>
        <w:t xml:space="preserve">non-transitive authorization</w:t>
      </w:r>
      <w:r>
        <w:t xml:space="preserve"> </w:t>
      </w:r>
      <w:r>
        <w:t xml:space="preserve">model: a choice</w:t>
      </w:r>
      <w:r>
        <w:t xml:space="preserve"> </w:t>
      </w:r>
      <w:r>
        <w:t xml:space="preserve">authorizes only its declared consequences. It is the property that keeps the</w:t>
      </w:r>
      <w:r>
        <w:t xml:space="preserve"> </w:t>
      </w:r>
      <w:r>
        <w:t xml:space="preserve">reference venue a settlement/matching layer rather than a custodial intermediary,</w:t>
      </w:r>
      <w:r>
        <w:t xml:space="preserve"> </w:t>
      </w:r>
      <w:r>
        <w:t xml:space="preserve">and it is what</w:t>
      </w:r>
      <w:r>
        <w:t xml:space="preserve"> </w:t>
      </w:r>
      <w:r>
        <w:rPr>
          <w:rStyle w:val="VerbatimChar"/>
        </w:rPr>
        <w:t xml:space="preserve">extraTransferLegSides</w:t>
      </w:r>
      <w:r>
        <w:t xml:space="preserve"> </w:t>
      </w:r>
      <w:r>
        <w:t xml:space="preserve">pinning and the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co-signature</w:t>
      </w:r>
      <w:r>
        <w:t xml:space="preserve"> </w:t>
      </w:r>
      <w:r>
        <w:t xml:space="preserve">jointly enforce.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AMM Conservation (</w:t>
      </w:r>
      <w:r>
        <w:rPr>
          <w:rStyle w:val="VerbatimChar"/>
          <w:b/>
          <w:bCs/>
        </w:rPr>
        <w:t xml:space="preserve">x · y = k</w:t>
      </w:r>
      <w:r>
        <w:rPr>
          <w:b/>
          <w:bCs/>
        </w:rPr>
        <w:t xml:space="preserve">).</w:t>
      </w:r>
      <w:r>
        <w:t xml:space="preserve"> </w:t>
      </w:r>
      <w:r>
        <w:t xml:space="preserve">After a swap (minus applied fees), the</w:t>
      </w:r>
      <w:r>
        <w:t xml:space="preserve"> </w:t>
      </w:r>
      <w:r>
        <w:t xml:space="preserve">product of base and quote reserves must be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the product before the swap:</w:t>
      </w:r>
      <w:r>
        <w:t xml:space="preserve"> </w:t>
      </w:r>
      <w:r>
        <w:rPr>
          <w:rStyle w:val="VerbatimChar"/>
        </w:rPr>
        <w:t xml:space="preserve">(baseReserves + Δin · (1 − feeBps/10000)) · (quoteReserves − Δout) ≥ baseReserves · quoteReserves</w:t>
      </w:r>
      <w:r>
        <w:t xml:space="preserve">. Enforced in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 </w:t>
      </w:r>
      <w:r>
        <w:t xml:space="preserve">and verified</w:t>
      </w:r>
      <w:r>
        <w:t xml:space="preserve"> </w:t>
      </w:r>
      <w:r>
        <w:t xml:space="preserve">off-ledger by the attestor pool before signature.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Funding Conservation (</w:t>
      </w:r>
      <w:r>
        <w:rPr>
          <w:rStyle w:val="VerbatimChar"/>
          <w:b/>
          <w:bCs/>
        </w:rPr>
        <w:t xml:space="preserve">nextIterationFunding</w:t>
      </w:r>
      <w:r>
        <w:rPr>
          <w:b/>
          <w:bCs/>
        </w:rPr>
        <w:t xml:space="preserve">).</w:t>
      </w:r>
      <w:r>
        <w:t xml:space="preserve"> </w:t>
      </w:r>
      <w:r>
        <w:t xml:space="preserve">Essential for prefunded</w:t>
      </w:r>
      <w:r>
        <w:t xml:space="preserve"> </w:t>
      </w:r>
      <w:r>
        <w:t xml:space="preserve">orders and the CLOB parameterization. The settlement implementation guarantees</w:t>
      </w:r>
      <w:r>
        <w:t xml:space="preserve"> </w:t>
      </w:r>
      <w:r>
        <w:t xml:space="preserve">the per-instrument net outflow from an authorizer never exceeds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extraTransferLegSides</w:t>
      </w:r>
      <w:r>
        <w:t xml:space="preserve"> </w:t>
      </w:r>
      <w:r>
        <w:t xml:space="preserve">blocks smuggling unrelated</w:t>
      </w:r>
      <w:r>
        <w:t xml:space="preserve"> </w:t>
      </w:r>
      <w:r>
        <w:t xml:space="preserve">transfer legs into an authorizer's allocation — preventing liquidity-drain</w:t>
      </w:r>
      <w:r>
        <w:t xml:space="preserve"> </w:t>
      </w:r>
      <w:r>
        <w:t xml:space="preserve">attacks.</w:t>
      </w:r>
    </w:p>
    <w:bookmarkEnd w:id="45"/>
    <w:bookmarkStart w:id="46" w:name="Xaab86e3d0b08d71744e215891835d7b00e2d099"/>
    <w:p>
      <w:pPr>
        <w:pStyle w:val="Heading3"/>
      </w:pPr>
      <w:r>
        <w:t xml:space="preserve">7.2 The Validation Ladder</w:t>
      </w:r>
    </w:p>
    <w:p>
      <w:pPr>
        <w:pStyle w:val="FirstParagraph"/>
      </w:pPr>
      <w:r>
        <w:t xml:space="preserve">The Daml code is run through a three-tier validation ladder. (Tooling exists in</w:t>
      </w:r>
      <w:r>
        <w:t xml:space="preserve"> </w:t>
      </w:r>
      <w:r>
        <w:t xml:space="preserve">the workspace; the latency figures below are illustrative, not benchmarked.)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 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1: 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AST checks: decimal bounds, unguarded division, positivity, archive-before-execute, anti-patterns, naming conventions.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2: 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testing with shrinking: thousands of fuzzed state transitions to ensure conservation/supply/balance invariants hold under extreme inputs.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3: 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Z3-backed proofs (conservation C1–C3, division-safety D1–D3, temporal T1–T3): proves unauthorized transitions (e.g. swapping while paused, or bypassing a D1 hook) are logically impossible within the contract graph.</w:t>
            </w:r>
          </w:p>
        </w:tc>
      </w:tr>
    </w:tbl>
    <w:bookmarkEnd w:id="46"/>
    <w:bookmarkStart w:id="47" w:name="Xe92ea9915736887e5df374d716c5eeaf31714ac"/>
    <w:p>
      <w:pPr>
        <w:pStyle w:val="Heading3"/>
      </w:pPr>
      <w:r>
        <w:t xml:space="preserve">7.3 Threat Model and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operator state manipulation</w:t>
            </w:r>
          </w:p>
        </w:tc>
        <w:tc>
          <w:tcPr/>
          <w:p>
            <w:pPr>
              <w:pStyle w:val="Compact"/>
            </w:pPr>
            <w:r>
              <w:t xml:space="preserve">Operator submits a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favoring their own holdings, bypassing the price curve or extracting excessive slippage.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attestorPool</w:t>
            </w:r>
            <w:r>
              <w:t xml:space="preserve"> </w:t>
            </w:r>
            <w:r>
              <w:t xml:space="preserve">signatories on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block the transition. Without their Shape-B attestation that the math is sound, the transaction fails Canton consensus at the synchronizer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evasion (D1)</w:t>
            </w:r>
          </w:p>
        </w:tc>
        <w:tc>
          <w:tcPr/>
          <w:p>
            <w:pPr>
              <w:pStyle w:val="Compact"/>
            </w:pPr>
            <w:r>
              <w:t xml:space="preserve">A sanctioned user routes through a secondary contract to obscure origin and bypass the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Shape-B compliance evaluates the true fund origin at the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layer; fail-closed. Without a fresh, valid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 </w:t>
            </w:r>
            <w:r>
              <w:t xml:space="preserve">signed by a compliance node, the batch is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Rogue seizure / asset burning (D2)</w:t>
            </w:r>
          </w:p>
        </w:tc>
        <w:tc>
          <w:tcPr/>
          <w:p>
            <w:pPr>
              <w:pStyle w:val="Compact"/>
            </w:pPr>
            <w:r>
              <w:t xml:space="preserve">A compromised admin key attempts to maliciously burn user assets or return seized funds to unverified actors.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Allocation_SweepD2InFlightSeizure</w:t>
            </w:r>
            <w:r>
              <w:t xml:space="preserve"> </w:t>
            </w:r>
            <w:r>
              <w:t xml:space="preserve">hardcodes the destination to the preset</w:t>
            </w:r>
            <w:r>
              <w:t xml:space="preserve"> </w:t>
            </w:r>
            <w:r>
              <w:rPr>
                <w:rStyle w:val="VerbatimChar"/>
              </w:rPr>
              <w:t xml:space="preserve">custodianDestination</w:t>
            </w:r>
            <w:r>
              <w:t xml:space="preserve">; arbitrary burn is forbidden. A compromised admin can only sweep to the pre-approved, monitored custodian.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upgrades breaking in-flight allocations (SCU)</w:t>
            </w:r>
          </w:p>
        </w:tc>
        <w:tc>
          <w:tcPr/>
          <w:p>
            <w:pPr>
              <w:pStyle w:val="Compact"/>
            </w:pPr>
            <w:r>
              <w:t xml:space="preserve">A poorly executed upgrade mutates fields, rendering existing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contracts un-settleable.</w:t>
            </w:r>
          </w:p>
        </w:tc>
        <w:tc>
          <w:tcPr/>
          <w:p>
            <w:pPr>
              <w:pStyle w:val="Compact"/>
            </w:pPr>
            <w:r>
              <w:t xml:space="preserve">Programmatic adherence to the SCU rule (Optional appends + new choices only). Existing</w:t>
            </w:r>
            <w:r>
              <w:t xml:space="preserve"> </w:t>
            </w:r>
            <w:r>
              <w:rPr>
                <w:rStyle w:val="VerbatimChar"/>
              </w:rPr>
              <w:t xml:space="preserve">PoolRules</w:t>
            </w:r>
            <w:r>
              <w:t xml:space="preserve"> </w:t>
            </w:r>
            <w:r>
              <w:t xml:space="preserve">stay operable; in-flight transactions conclude before users transition.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X2213aa400af3badbf7f432163a1336f639e261c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 for</w:t>
      </w:r>
      <w:r>
        <w:rPr>
          <w:b/>
          <w:bCs/>
        </w:rPr>
        <w:t xml:space="preserve"> </w:t>
      </w:r>
      <w:r>
        <w:rPr>
          <w:b/>
          <w:bCs/>
        </w:rPr>
        <w:t xml:space="preserve">eventual development.</w:t>
      </w:r>
      <w:r>
        <w:t xml:space="preserve"> </w:t>
      </w:r>
      <w:r>
        <w:t xml:space="preserve">The CIP-0112 settlement scaffold in this workspace is</w:t>
      </w:r>
      <w:r>
        <w:t xml:space="preserve"> </w:t>
      </w:r>
      <w:r>
        <w:rPr>
          <w:b/>
          <w:bCs/>
        </w:rPr>
        <w:t xml:space="preserve">single-synchronizer only</w:t>
      </w:r>
      <w:r>
        <w:t xml:space="preserve"> </w:t>
      </w:r>
      <w:r>
        <w:t xml:space="preserve">— there is no cross-domain / multi-synchronizer</w:t>
      </w:r>
      <w:r>
        <w:t xml:space="preserve"> </w:t>
      </w:r>
      <w:r>
        <w:t xml:space="preserve">machinery today, and D3 cross-domain identity is deferred (PLAN.md Decision</w:t>
      </w:r>
      <w:r>
        <w:t xml:space="preserve"> </w:t>
      </w:r>
      <w:r>
        <w:t xml:space="preserve">Log, AGENTS.md §Decision Authority). This section plans the extension so it can</w:t>
      </w:r>
      <w:r>
        <w:t xml:space="preserve"> </w:t>
      </w:r>
      <w:r>
        <w:t xml:space="preserve">be added later</w:t>
      </w:r>
      <w:r>
        <w:t xml:space="preserve"> </w:t>
      </w:r>
      <w:r>
        <w:rPr>
          <w:b/>
          <w:bCs/>
        </w:rPr>
        <w:t xml:space="preserve">without re-architecting the settlement core</w:t>
      </w:r>
      <w:r>
        <w:t xml:space="preserve">, following</w:t>
      </w:r>
      <w:r>
        <w:t xml:space="preserve"> </w:t>
      </w:r>
      <w:r>
        <w:t xml:space="preserve">Canton's real cross-synchronizer model and the SCU forward-compatibility rule.</w:t>
      </w:r>
    </w:p>
    <w:bookmarkStart w:id="49" w:name="X9ca0b1f8c35630cb9c1d5629df91239881476e3"/>
    <w:p>
      <w:pPr>
        <w:pStyle w:val="Heading3"/>
      </w:pPr>
      <w:r>
        <w:t xml:space="preserve">8.1 What "cross-synchronizer" means on Canton</w:t>
      </w:r>
    </w:p>
    <w:p>
      <w:pPr>
        <w:pStyle w:val="FirstParagraph"/>
      </w:pPr>
      <w:r>
        <w:t xml:space="preserve">On Canton, every contract is</w:t>
      </w:r>
      <w:r>
        <w:t xml:space="preserve"> </w:t>
      </w:r>
      <w:r>
        <w:rPr>
          <w:b/>
          <w:bCs/>
        </w:rPr>
        <w:t xml:space="preserve">assigned to exactly one synchronizer domain</w:t>
      </w:r>
      <w:r>
        <w:t xml:space="preserve"> </w:t>
      </w:r>
      <w:r>
        <w:t xml:space="preserve">at a</w:t>
      </w:r>
      <w:r>
        <w:t xml:space="preserve"> </w:t>
      </w:r>
      <w:r>
        <w:t xml:space="preserve">time; a transaction can only use contracts on the same synchronizer. Moving a</w:t>
      </w:r>
      <w:r>
        <w:t xml:space="preserve"> </w:t>
      </w:r>
      <w:r>
        <w:t xml:space="preserve">contract between synchronizers is done by the</w:t>
      </w:r>
      <w:r>
        <w:t xml:space="preserve"> </w:t>
      </w:r>
      <w:r>
        <w:rPr>
          <w:b/>
          <w:bCs/>
        </w:rPr>
        <w:t xml:space="preserve">reassignment protocol</w:t>
      </w:r>
      <w:r>
        <w:t xml:space="preserve"> </w:t>
      </w:r>
      <w:r>
        <w:t xml:space="preserve">(unassign on the source synchronizer → assign on the target), not by mutation.</w:t>
      </w:r>
      <w:r>
        <w:t xml:space="preserve"> </w:t>
      </w:r>
      <w:r>
        <w:t xml:space="preserve">A cross-synchronizer DEX therefore is not "one global pool seen everywhere"; it</w:t>
      </w:r>
      <w:r>
        <w:t xml:space="preserve"> </w:t>
      </w:r>
      <w:r>
        <w:t xml:space="preserve">is a set of per-synchronizer contracts plus a disciplined reassignment workflow</w:t>
      </w:r>
      <w:r>
        <w:t xml:space="preserve"> </w:t>
      </w:r>
      <w:r>
        <w:t xml:space="preserve">that preserves atomicity and privacy across domains.</w:t>
      </w:r>
    </w:p>
    <w:p>
      <w:pPr>
        <w:pStyle w:val="BodyText"/>
      </w:pPr>
      <w:r>
        <w:t xml:space="preserve">This is the topology-layer analogue of the per-party projection mindset shift in</w:t>
      </w:r>
      <w:r>
        <w:t xml:space="preserve"> </w:t>
      </w:r>
      <w:r>
        <w:t xml:space="preserve">§1: just as privacy is a function of who is a signatory/observer, cross-domain</w:t>
      </w:r>
      <w:r>
        <w:t xml:space="preserve"> </w:t>
      </w:r>
      <w:r>
        <w:t xml:space="preserve">reach is a function of which synchronizer each contract is assigned to and how it</w:t>
      </w:r>
      <w:r>
        <w:t xml:space="preserve"> </w:t>
      </w:r>
      <w:r>
        <w:t xml:space="preserve">is reassigned.</w:t>
      </w:r>
    </w:p>
    <w:bookmarkEnd w:id="49"/>
    <w:bookmarkStart w:id="50" w:name="X7762baae368a85af1aae5ebf60866bb1bde5eff"/>
    <w:p>
      <w:pPr>
        <w:pStyle w:val="Heading3"/>
      </w:pPr>
      <w:r>
        <w:t xml:space="preserve">8.2 Where the DEX touches the synchronizer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Single-domain v1 (today)</w:t>
            </w:r>
          </w:p>
        </w:tc>
        <w:tc>
          <w:tcPr/>
          <w:p>
            <w:pPr>
              <w:pStyle w:val="Compact"/>
            </w:pPr>
            <w:r>
              <w:t xml:space="preserve">Cross-synchronizer extension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on one synchronizer;</w:t>
            </w:r>
            <w:r>
              <w:t xml:space="preserve"> </w:t>
            </w:r>
            <w:r>
              <w:rPr>
                <w:rStyle w:val="VerbatimChar"/>
              </w:rPr>
              <w:t xml:space="preserve">attestorPool</w:t>
            </w:r>
            <w:r>
              <w:t xml:space="preserve"> </w:t>
            </w:r>
            <w:r>
              <w:t xml:space="preserve">nodes all reachable there.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stays on a</w:t>
            </w:r>
            <w:r>
              <w:t xml:space="preserve"> </w:t>
            </w:r>
            <w:r>
              <w:rPr>
                <w:i/>
                <w:iCs/>
              </w:rPr>
              <w:t xml:space="preserve">home</w:t>
            </w:r>
            <w:r>
              <w:t xml:space="preserve"> </w:t>
            </w:r>
            <w:r>
              <w:t xml:space="preserve">synchronizer; cross-domain swaps reassign the trader's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to the home synchronizer for the duration of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, then reassign change/output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</w:p>
        </w:tc>
        <w:tc>
          <w:tcPr/>
          <w:p>
            <w:pPr>
              <w:pStyle w:val="Compact"/>
            </w:pPr>
            <w:r>
              <w:t xml:space="preserve">Created and settled on the same synchronizer as the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Must become</w:t>
            </w:r>
            <w:r>
              <w:t xml:space="preserve"> </w:t>
            </w:r>
            <w:r>
              <w:rPr>
                <w:b/>
                <w:bCs/>
              </w:rPr>
              <w:t xml:space="preserve">reassignable</w:t>
            </w:r>
            <w:r>
              <w:t xml:space="preserve">: created on the trader's home synchronizer, unassigned, and assigned to the pool's synchronizer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attestorPool</w:t>
            </w:r>
            <w:r>
              <w:t xml:space="preserve"> </w:t>
            </w: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t xml:space="preserve">All attestor parties hosted on the pool's synchronizer.</w:t>
            </w:r>
          </w:p>
        </w:tc>
        <w:tc>
          <w:tcPr/>
          <w:p>
            <w:pPr>
              <w:pStyle w:val="Compact"/>
            </w:pPr>
            <w:r>
              <w:t xml:space="preserve">Attestor set must be reachable on the synchronizer where settlement occurs; cross-domain pools imply per-synchronizer attestor membership and a reassignment-aware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compliance</w:t>
            </w:r>
          </w:p>
        </w:tc>
        <w:tc>
          <w:tcPr/>
          <w:p>
            <w:pPr>
              <w:pStyle w:val="Compact"/>
            </w:pPr>
            <w:r>
              <w:t xml:space="preserve">Node-side check on the settlement synchronizer.</w:t>
            </w:r>
          </w:p>
        </w:tc>
        <w:tc>
          <w:tcPr/>
          <w:p>
            <w:pPr>
              <w:pStyle w:val="Compact"/>
            </w:pPr>
            <w:r>
              <w:t xml:space="preserve">Compliance must be re-evaluated on the synchronizer where the leg actually settles; a leg cannot "carry" a stale attestation across a reassignment (fail-closed still holds).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from a trusted issuer on one synchronizer.</w:t>
            </w:r>
          </w:p>
        </w:tc>
        <w:tc>
          <w:tcPr/>
          <w:p>
            <w:pPr>
              <w:pStyle w:val="Compact"/>
            </w:pPr>
            <w:r>
              <w:t xml:space="preserve">Cross-domain identity (ONCHAINID / ERC-3643 / Chainlink CCID) resolved into a synchronizer-aware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this is the deferred D3 work.</w:t>
            </w:r>
          </w:p>
        </w:tc>
      </w:tr>
    </w:tbl>
    <w:bookmarkEnd w:id="50"/>
    <w:bookmarkStart w:id="51" w:name="X3ff25ebd74ca6946f284a7256cb7cd95d1ab5c6"/>
    <w:p>
      <w:pPr>
        <w:pStyle w:val="Heading3"/>
      </w:pPr>
      <w:r>
        <w:t xml:space="preserve">8.3 The additive, non-breaking path (SCU-compliant)</w:t>
      </w:r>
    </w:p>
    <w:p>
      <w:pPr>
        <w:pStyle w:val="FirstParagraph"/>
      </w:pPr>
      <w:r>
        <w:t xml:space="preserve">Following the non-negotiable SCU rule (never mutate an existing choice's args;</w:t>
      </w:r>
      <w:r>
        <w:t xml:space="preserve"> </w:t>
      </w:r>
      <w:r>
        <w:t xml:space="preserve">extend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appends, new serializable types, and new choices):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Append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Optional</w:t>
      </w:r>
      <w:r>
        <w:rPr>
          <w:b/>
          <w:bCs/>
        </w:rPr>
        <w:t xml:space="preserve"> </w:t>
      </w:r>
      <w:r>
        <w:rPr>
          <w:b/>
          <w:bCs/>
        </w:rPr>
        <w:t xml:space="preserve">home-synchronizer descriptor.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fields to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and the RI-level allocation</w:t>
      </w:r>
      <w:r>
        <w:t xml:space="preserve"> </w:t>
      </w:r>
      <w:r>
        <w:t xml:space="preserve">wrappers. Older single-domain 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behave exactly as</w:t>
      </w:r>
      <w:r>
        <w:t xml:space="preserve"> </w:t>
      </w:r>
      <w:r>
        <w:t xml:space="preserve">today.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a new, parallel cross-domain choice.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PoolRules_SwapCrossDomain</w:t>
      </w:r>
      <w:r>
        <w:t xml:space="preserve"> </w:t>
      </w:r>
      <w:r>
        <w:t xml:space="preserve">alongside the unchanged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. The new</w:t>
      </w:r>
      <w:r>
        <w:t xml:space="preserve"> </w:t>
      </w:r>
      <w:r>
        <w:t xml:space="preserve">choice orchestrates the reassignment-aware flow; the original stays valid for</w:t>
      </w:r>
      <w:r>
        <w:t xml:space="preserve"> </w:t>
      </w:r>
      <w:r>
        <w:t xml:space="preserve">single-domain swaps and in-flight allocations.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reassignment explicitly as workflow, not mutation.</w:t>
      </w:r>
      <w:r>
        <w:t xml:space="preserve"> </w:t>
      </w:r>
      <w:r>
        <w:t xml:space="preserve">Cross-domain</w:t>
      </w:r>
      <w:r>
        <w:t xml:space="preserve"> </w:t>
      </w:r>
      <w:r>
        <w:t xml:space="preserve">settlement is: reassign trader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to the pool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 output/change holdings back. Each step is an</w:t>
      </w:r>
      <w:r>
        <w:t xml:space="preserve"> </w:t>
      </w:r>
      <w:r>
        <w:t xml:space="preserve">archive-and-recreate-style assignment, consistent with Daml-LF 2.1.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atomicity at the batch boundary.</w:t>
      </w:r>
      <w:r>
        <w:t xml:space="preserve"> </w:t>
      </w:r>
      <w:r>
        <w:t xml:space="preserve">True DvP remains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on a single synchronizer; cross-domain</w:t>
      </w:r>
      <w:r>
        <w:t xml:space="preserve"> </w:t>
      </w:r>
      <w:r>
        <w:t xml:space="preserve">atomicity is achieved by reassigning all required legs onto that synchronizer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batch, never by splitting one DvP across two synchronizers.</w:t>
      </w:r>
    </w:p>
    <w:bookmarkEnd w:id="51"/>
    <w:bookmarkStart w:id="52" w:name="X60de9bed5e6603d70a9bd57ed6c194ae568df13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Reassignment atomicity vs. settlement atomicity.</w:t>
      </w:r>
      <w:r>
        <w:t xml:space="preserve"> </w:t>
      </w:r>
      <w:r>
        <w:t xml:space="preserve">What is the failure model</w:t>
      </w:r>
      <w:r>
        <w:t xml:space="preserve"> </w:t>
      </w:r>
      <w:r>
        <w:t xml:space="preserve">if an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is assigned to the pool synchronizer but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then</w:t>
      </w:r>
      <w:r>
        <w:t xml:space="preserve"> </w:t>
      </w:r>
      <w:r>
        <w:t xml:space="preserve">fails — is the reassignment rolled back, or does the trader retain a</w:t>
      </w:r>
      <w:r>
        <w:t xml:space="preserve"> </w:t>
      </w:r>
      <w:r>
        <w:t xml:space="preserve">re-home-able allocation? (Maps to the transfer-failure return-to-sender rule.)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Attestor pool across synchronizers.</w:t>
      </w:r>
      <w:r>
        <w:t xml:space="preserve"> </w:t>
      </w:r>
      <w:r>
        <w:t xml:space="preserve">How is attestor membership and the</w:t>
      </w:r>
      <w:r>
        <w:t xml:space="preserve"> </w:t>
      </w:r>
      <w:r>
        <w:t xml:space="preserve">signing threshold defined when settlement can occur on more than one</w:t>
      </w:r>
      <w:r>
        <w:t xml:space="preserve"> </w:t>
      </w:r>
      <w:r>
        <w:t xml:space="preserve">synchronizer? Does each synchronizer carry its own attestor sub-pool?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Cross-domain D1 freshness.</w:t>
      </w:r>
      <w:r>
        <w:t xml:space="preserve"> </w:t>
      </w:r>
      <w:r>
        <w:t xml:space="preserve">Confirm that compliance is always re-checked on</w:t>
      </w:r>
      <w:r>
        <w:t xml:space="preserve"> </w:t>
      </w:r>
      <w:r>
        <w:t xml:space="preserve">the settling synchronizer and that no attestation is reused across a</w:t>
      </w:r>
      <w:r>
        <w:t xml:space="preserve"> </w:t>
      </w:r>
      <w:r>
        <w:t xml:space="preserve">reassignment boundary.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Tooling maturity.</w:t>
      </w:r>
      <w:r>
        <w:t xml:space="preserve"> </w:t>
      </w:r>
      <w:r>
        <w:t xml:space="preserve">Cross-synchronizer reassignment tooling is part of the</w:t>
      </w:r>
      <w:r>
        <w:t xml:space="preserve"> </w:t>
      </w:r>
      <w:r>
        <w:t xml:space="preserve">evolving Canton/Digital Asset stack; this section assumes drop-in integration</w:t>
      </w:r>
      <w:r>
        <w:t xml:space="preserve"> </w:t>
      </w:r>
      <w:r>
        <w:t xml:space="preserve">as that tooling matures (consistent with the §2 attestor-pool assumption).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1eac4ebe82c6da8aa74d16d08bf85a2f3190a4f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Node rotation in the attestor pool.</w:t>
      </w:r>
      <w:r>
        <w:t xml:space="preserve"> </w:t>
      </w:r>
      <w:r>
        <w:rPr>
          <w:rStyle w:val="VerbatimChar"/>
        </w:rPr>
        <w:t xml:space="preserve">attestorPool : [Party]</w:t>
      </w:r>
      <w:r>
        <w:t xml:space="preserve"> </w:t>
      </w:r>
      <w:r>
        <w:t xml:space="preserve">is currently</w:t>
      </w:r>
      <w:r>
        <w:t xml:space="preserve"> </w:t>
      </w:r>
      <w:r>
        <w:t xml:space="preserve">a static array. Dynamic add/remove of attestor nodes — slashing conditions for</w:t>
      </w:r>
      <w:r>
        <w:t xml:space="preserve"> </w:t>
      </w:r>
      <w:r>
        <w:t xml:space="preserve">malicious attestations and threshold/multi-signature requirements for</w:t>
      </w:r>
      <w:r>
        <w:t xml:space="preserve"> </w:t>
      </w:r>
      <w:r>
        <w:t xml:space="preserve">membership changes — needs definition, dependent on forthcoming governance</w:t>
      </w:r>
      <w:r>
        <w:t xml:space="preserve"> </w:t>
      </w:r>
      <w:r>
        <w:t xml:space="preserve">tooling.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Cross-domain identity resolution.</w:t>
      </w:r>
      <w:r>
        <w:t xml:space="preserve"> </w:t>
      </w:r>
      <w:r>
        <w:t xml:space="preserve">The architecture supports single-domain</w:t>
      </w:r>
      <w:r>
        <w:t xml:space="preserve"> </w:t>
      </w:r>
      <w:r>
        <w:t xml:space="preserve">v1 identity with forward compatibility (D3). The off-ledger resolution</w:t>
      </w:r>
      <w:r>
        <w:t xml:space="preserve"> </w:t>
      </w:r>
      <w:r>
        <w:t xml:space="preserve">mechanics for syncing external ONCHAINID / ERC-3643 attributes into the Canton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remain to be standardized (see §8).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D1 attestation shape.</w:t>
      </w:r>
      <w:r>
        <w:t xml:space="preserve"> </w:t>
      </w:r>
      <w:r>
        <w:t xml:space="preserve">Whether the contract stays oblivious (off-ledger</w:t>
      </w:r>
      <w:r>
        <w:t xml:space="preserve"> </w:t>
      </w:r>
      <w:r>
        <w:t xml:space="preserve">gate) or verifies a signed node attestation on-ledger at exercise time is open</w:t>
      </w:r>
      <w:r>
        <w:t xml:space="preserve"> </w:t>
      </w:r>
      <w:r>
        <w:t xml:space="preserve">(PLAN.md Open Questions); non-blocking via the optional hook + SCU path.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Dynamic fee hooks.</w:t>
      </w:r>
      <w:r>
        <w:t xml:space="preserve"> </w:t>
      </w:r>
      <w:r>
        <w:t xml:space="preserve">The current</w:t>
      </w:r>
      <w:r>
        <w:t xml:space="preserve"> </w:t>
      </w:r>
      <w:r>
        <w:rPr>
          <w:rStyle w:val="VerbatimChar"/>
        </w:rPr>
        <w:t xml:space="preserve">feeBps</w:t>
      </w:r>
      <w:r>
        <w:t xml:space="preserve"> </w:t>
      </w:r>
      <w:r>
        <w:t xml:space="preserve">is static. Volatility-adjusted fee</w:t>
      </w:r>
      <w:r>
        <w:t xml:space="preserve"> </w:t>
      </w:r>
      <w:r>
        <w:t xml:space="preserve">hooks (using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deviation metrics) are feasible within the SCU</w:t>
      </w:r>
      <w:r>
        <w:t xml:space="preserve"> </w:t>
      </w:r>
      <w:r>
        <w:t xml:space="preserve">framework but require modeling to avoid latency-arbitrage vectors and oracle</w:t>
      </w:r>
      <w:r>
        <w:t xml:space="preserve"> </w:t>
      </w:r>
      <w:r>
        <w:t xml:space="preserve">congestion of the settlement spine.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LP token force-upgrade semantics.</w:t>
      </w:r>
      <w:r>
        <w:t xml:space="preserve"> </w:t>
      </w:r>
      <w:r>
        <w:t xml:space="preserve">Active holdings upgrade-on-use during</w:t>
      </w:r>
      <w:r>
        <w:t xml:space="preserve"> </w:t>
      </w:r>
      <w:r>
        <w:t xml:space="preserve">factory routing, but passive LP tokens held idly do not trigger an upgrade</w:t>
      </w:r>
      <w:r>
        <w:t xml:space="preserve"> </w:t>
      </w:r>
      <w:r>
        <w:t xml:space="preserve">cycle. The threshold criteria and off-ledger events for an issuer to invoke a</w:t>
      </w:r>
      <w:r>
        <w:t xml:space="preserve"> </w:t>
      </w:r>
      <w:r>
        <w:t xml:space="preserve">force-upgrade on passive assets remain an operational policy decision for the</w:t>
      </w:r>
      <w:r>
        <w:t xml:space="preserve"> </w:t>
      </w:r>
      <w:r>
        <w:rPr>
          <w:rStyle w:val="VerbatimChar"/>
        </w:rPr>
        <w:t xml:space="preserve">CANTON_LP_REGISTRAR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DEX pools can be seeded with</w:t>
      </w:r>
      <w:r>
        <w:t xml:space="preserve"> </w:t>
      </w:r>
      <w:r>
        <w:t xml:space="preserve">base/quote liquidity from</w:t>
      </w:r>
      <w:r>
        <w:t xml:space="preserve"> </w:t>
      </w:r>
      <w:r>
        <w:rPr>
          <w:b/>
          <w:bCs/>
        </w:rPr>
        <w:t xml:space="preserve">cross-chain stablecoin inflows</w:t>
      </w:r>
      <w:r>
        <w:t xml:space="preserve"> </w:t>
      </w:r>
      <w:r>
        <w:t xml:space="preserve">settled via the</w:t>
      </w:r>
      <w:r>
        <w:t xml:space="preserve"> </w:t>
      </w:r>
      <w:r>
        <w:t xml:space="preserve">Stablecoin RI (</w:t>
      </w:r>
      <w:hyperlink r:id="rId54">
        <w:r>
          <w:rPr>
            <w:rStyle w:val="VerbatimChar"/>
          </w:rPr>
          <w:t xml:space="preserve">03</w:t>
        </w:r>
      </w:hyperlink>
      <w:r>
        <w:t xml:space="preserve">), and the DEX is the</w:t>
      </w:r>
      <w:r>
        <w:t xml:space="preserve"> </w:t>
      </w:r>
      <w:r>
        <w:rPr>
          <w:b/>
          <w:bCs/>
        </w:rPr>
        <w:t xml:space="preserve">secondary market</w:t>
      </w:r>
      <w:r>
        <w:t xml:space="preserve"> </w:t>
      </w:r>
      <w:r>
        <w:t xml:space="preserve">for tokens distributed by the Auction RI</w:t>
      </w:r>
      <w:r>
        <w:t xml:space="preserve"> </w:t>
      </w:r>
      <w:r>
        <w:t xml:space="preserve">(</w:t>
      </w:r>
      <w:hyperlink r:id="rId55">
        <w:r>
          <w:rPr>
            <w:rStyle w:val="VerbatimChar"/>
          </w:rPr>
          <w:t xml:space="preserve">04</w:t>
        </w:r>
      </w:hyperlink>
      <w:r>
        <w:t xml:space="preserve">) — both over the same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spine, with no parallel settlement path.</w:t>
      </w:r>
    </w:p>
    <w:p>
      <w:r>
        <w:pict>
          <v:rect style="width:0;height:1.5pt" o:hralign="center" o:hrstd="t" o:hr="t"/>
        </w:pict>
      </w:r>
    </w:p>
    <w:bookmarkEnd w:id="56"/>
    <w:bookmarkStart w:id="6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in this report are grounded in</w:t>
      </w:r>
      <w:r>
        <w:t xml:space="preserve"> </w:t>
      </w:r>
      <w:r>
        <w:t xml:space="preserve">real source in this workspace (verified 2026-06-24). Authoritative sources: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 </w:t>
      </w:r>
      <w:r>
        <w:t xml:space="preserve">(mirrored byte-identically in</w:t>
      </w:r>
      <w:r>
        <w:t xml:space="preserve"> </w:t>
      </w:r>
      <w:r>
        <w:rPr>
          <w:rStyle w:val="VerbatimChar"/>
        </w:rPr>
        <w:t xml:space="preserve">canton-contracts/experiments/cip112-settlement/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OpenZeppelin.AccessControl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OpenZeppelin.Ownable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OpenZeppelin.Pausable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Holdings / forced-burn / rules / preapproval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Vault / oracle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canton-stablecoin/stablecoin/daml/Stablecoin/{Vault,Oracle}.daml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7">
        <w:r>
          <w:rPr>
            <w:rStyle w:val="VerbatimChar"/>
          </w:rPr>
          <w:t xml:space="preserve">PLAN.md</w:t>
        </w:r>
      </w:hyperlink>
      <w:r>
        <w:t xml:space="preserve"> </w:t>
      </w:r>
      <w:r>
        <w:t xml:space="preserve">(Decision Log) and</w:t>
      </w:r>
      <w:r>
        <w:t xml:space="preserve"> </w:t>
      </w:r>
      <w:hyperlink r:id="rId58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(§Decision Authority); briefing in</w:t>
      </w:r>
      <w:r>
        <w:t xml:space="preserve"> </w:t>
      </w:r>
      <w:hyperlink r:id="rId59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1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2">
        <w:r>
          <w:rPr>
            <w:rStyle w:val="VerbatimChar"/>
          </w:rPr>
          <w:t xml:space="preserve">M2_DEX_SCOPE.md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Existing RI/settlement architecture spec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VerbatimChar"/>
          </w:rPr>
          <w:t xml:space="preserve">canton-specs/docs/architecture/cip0112-m1-ri-spec.md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Diagram tooling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(presets:</w:t>
      </w:r>
      <w:r>
        <w:t xml:space="preserve"> </w:t>
      </w:r>
      <w:r>
        <w:t xml:space="preserve">Privacy DEX, Batch DvP, Multi-leg Settlement).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Validation ladder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daml-lint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daml-verify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(source-evidence pin; import gated per PLAN.md).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BitSafe cBTC node-side capability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 cited as ecosystem</w:t>
      </w:r>
      <w:r>
        <w:t xml:space="preserve"> </w:t>
      </w:r>
      <w:r>
        <w:t xml:space="preserve">precedent for node-side attestation; not vendored here.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srikanth-bitdynamics/Canton-Dex-Reference-Implementation</w:t>
      </w:r>
      <w:r>
        <w:t xml:space="preserve"> </w:t>
      </w:r>
      <w:r>
        <w:t xml:space="preserve">GitHub repo,</w:t>
      </w:r>
      <w:r>
        <w:t xml:space="preserve"> </w:t>
      </w:r>
      <w:r>
        <w:t xml:space="preserve">Medium ecosystem round-ups, and a CoinStats "fundamental analysis" page) as</w:t>
      </w:r>
      <w:r>
        <w:t xml:space="preserve"> </w:t>
      </w:r>
      <w:r>
        <w:t xml:space="preserve">authoritative sources. None are part of this workspace or an authoritative</w:t>
      </w:r>
      <w:r>
        <w:t xml:space="preserve"> </w:t>
      </w:r>
      <w:r>
        <w:t xml:space="preserve">spec; they were removed and replaced with the workspace-grounded references</w:t>
      </w:r>
      <w:r>
        <w:t xml:space="preserve"> </w:t>
      </w:r>
      <w:r>
        <w:t xml:space="preserve">above. See the review record in</w:t>
      </w:r>
      <w:r>
        <w:t xml:space="preserve"> </w:t>
      </w:r>
      <w:hyperlink r:id="rId61">
        <w:r>
          <w:rPr>
            <w:rStyle w:val="VerbatimChar"/>
          </w:rPr>
          <w:t xml:space="preserve">../reviews/2026-06-24T21-54-54Z_REVIEW.md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Re-review 2026-06-24 (expert "blueprint" pass):</w:t>
      </w:r>
      <w:r>
        <w:t xml:space="preserve"> </w:t>
      </w:r>
      <w:r>
        <w:t xml:space="preserve">a second expert draft</w:t>
      </w:r>
      <w:r>
        <w:t xml:space="preserve"> </w:t>
      </w:r>
      <w:r>
        <w:t xml:space="preserve">(a US-financial-regulation-framed blueprint) was assessed against this report.</w:t>
      </w:r>
      <w:r>
        <w:t xml:space="preserve"> </w:t>
      </w:r>
      <w:r>
        <w:t xml:space="preserve">Its verifiable signal — the non-custodial / no-unilateral-execution property</w:t>
      </w:r>
      <w:r>
        <w:t xml:space="preserve"> </w:t>
      </w:r>
      <w:r>
        <w:t xml:space="preserve">(§7.1), an institutional maker-checker extension (§3), and the Daml-3.x</w:t>
      </w:r>
      <w:r>
        <w:t xml:space="preserve"> </w:t>
      </w:r>
      <w:r>
        <w:t xml:space="preserve">retroactive-interface-instance removal (§3) — was integrated. Its</w:t>
      </w:r>
      <w:r>
        <w:t xml:space="preserve"> </w:t>
      </w:r>
      <w:r>
        <w:t xml:space="preserve">non-verifiable content was rejected: an order-book-first reframe and the</w:t>
      </w:r>
      <w:r>
        <w:t xml:space="preserve"> </w:t>
      </w:r>
      <w:r>
        <w:t xml:space="preserve">fabricated templates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MatchedPair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OraclePrice</w:t>
      </w:r>
      <w:r>
        <w:t xml:space="preserve"> </w:t>
      </w:r>
      <w:r>
        <w:t xml:space="preserve">(contradicts the grant's AMM-lead / CLOB-as-parameterization framing);</w:t>
      </w:r>
      <w:r>
        <w:t xml:space="preserve"> </w:t>
      </w:r>
      <w:r>
        <w:t xml:space="preserve">fabricated</w:t>
      </w:r>
      <w:r>
        <w:t xml:space="preserve"> </w:t>
      </w:r>
      <w:r>
        <w:rPr>
          <w:rStyle w:val="VerbatimChar"/>
        </w:rPr>
        <w:t xml:space="preserve">MakerChecker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GiveProposed</w:t>
      </w:r>
      <w:r>
        <w:t xml:space="preserve"> </w:t>
      </w:r>
      <w:r>
        <w:t xml:space="preserve">choices;</w:t>
      </w:r>
      <w:r>
        <w:t xml:space="preserve"> </w:t>
      </w:r>
      <w:r>
        <w:rPr>
          <w:rStyle w:val="VerbatimChar"/>
        </w:rPr>
        <w:t xml:space="preserve">FROST</w:t>
      </w:r>
      <w:r>
        <w:t xml:space="preserve"> </w:t>
      </w:r>
      <w:r>
        <w:t xml:space="preserve">signatures (absent</w:t>
      </w:r>
      <w:r>
        <w:t xml:space="preserve"> </w:t>
      </w:r>
      <w:r>
        <w:t xml:space="preserve">from the workspace);</w:t>
      </w:r>
      <w:r>
        <w:t xml:space="preserve"> </w:t>
      </w:r>
      <w:r>
        <w:rPr>
          <w:rStyle w:val="VerbatimChar"/>
        </w:rPr>
        <w:t xml:space="preserve">ComplianceRegistry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BlacklistValidator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ClaimsValidator</w:t>
      </w:r>
      <w:r>
        <w:t xml:space="preserve">; "Lock by State / Lock by Archiving" terminology (the real</w:t>
      </w:r>
      <w:r>
        <w:t xml:space="preserve"> </w:t>
      </w:r>
      <w:r>
        <w:t xml:space="preserve">mechanism is archive-and-recreate, already described); and the entire</w:t>
      </w:r>
      <w:r>
        <w:t xml:space="preserve"> </w:t>
      </w:r>
      <w:r>
        <w:t xml:space="preserve">OCC /</w:t>
      </w:r>
      <w:r>
        <w:t xml:space="preserve"> </w:t>
      </w:r>
      <w:r>
        <w:rPr>
          <w:i/>
          <w:iCs/>
        </w:rPr>
        <w:t xml:space="preserve">Espinoza</w:t>
      </w:r>
      <w:r>
        <w:t xml:space="preserve"> </w:t>
      </w:r>
      <w:r>
        <w:t xml:space="preserve">/ FDICIA / SOX citation set with its external "Works cited"</w:t>
      </w:r>
      <w:r>
        <w:t xml:space="preserve"> </w:t>
      </w:r>
      <w:r>
        <w:t xml:space="preserve">URLs (non-workspace, non-spec — house conventions bar them). Record:</w:t>
      </w:r>
      <w:r>
        <w:t xml:space="preserve"> </w:t>
      </w:r>
      <w:hyperlink r:id="rId62">
        <w:r>
          <w:rPr>
            <w:rStyle w:val="VerbatimChar"/>
          </w:rPr>
          <w:t xml:space="preserve">../reviews/2026-06-24T23-29-57Z_REVIEW.md</w:t>
        </w:r>
      </w:hyperlink>
      <w:r>
        <w:t xml:space="preserve">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58" Target="../../AGENTS.md" TargetMode="External" /><Relationship Type="http://schemas.openxmlformats.org/officeDocument/2006/relationships/hyperlink" Id="rId12" Target="../../M2_DEX_SCOPE.md" TargetMode="External" /><Relationship Type="http://schemas.openxmlformats.org/officeDocument/2006/relationships/hyperlink" Id="rId57" Target="../../PLAN.md" TargetMode="External" /><Relationship Type="http://schemas.openxmlformats.org/officeDocument/2006/relationships/hyperlink" Id="rId60" Target="../../canton-specs/docs/architecture/cip0112-m1-ri-spec.md" TargetMode="External" /><Relationship Type="http://schemas.openxmlformats.org/officeDocument/2006/relationships/hyperlink" Id="rId59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61" Target="../reviews/2026-06-24T21-54-54Z_REVIEW.md" TargetMode="External" /><Relationship Type="http://schemas.openxmlformats.org/officeDocument/2006/relationships/hyperlink" Id="rId62" Target="../reviews/2026-06-24T23-29-57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54" Target="./03-cross-chain-stablecoin.md" TargetMode="External" /><Relationship Type="http://schemas.openxmlformats.org/officeDocument/2006/relationships/hyperlink" Id="rId55" Target="./04-confidential-auction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../AGENTS.md" TargetMode="External" /><Relationship Type="http://schemas.openxmlformats.org/officeDocument/2006/relationships/hyperlink" Id="rId12" Target="../../M2_DEX_SCOPE.md" TargetMode="External" /><Relationship Type="http://schemas.openxmlformats.org/officeDocument/2006/relationships/hyperlink" Id="rId57" Target="../../PLAN.md" TargetMode="External" /><Relationship Type="http://schemas.openxmlformats.org/officeDocument/2006/relationships/hyperlink" Id="rId60" Target="../../canton-specs/docs/architecture/cip0112-m1-ri-spec.md" TargetMode="External" /><Relationship Type="http://schemas.openxmlformats.org/officeDocument/2006/relationships/hyperlink" Id="rId59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61" Target="../reviews/2026-06-24T21-54-54Z_REVIEW.md" TargetMode="External" /><Relationship Type="http://schemas.openxmlformats.org/officeDocument/2006/relationships/hyperlink" Id="rId62" Target="../reviews/2026-06-24T23-29-57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54" Target="./03-cross-chain-stablecoin.md" TargetMode="External" /><Relationship Type="http://schemas.openxmlformats.org/officeDocument/2006/relationships/hyperlink" Id="rId55" Target="./04-confidential-auction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2026-06-25T03:33:45Z</dcterms:created>
  <dcterms:modified xsi:type="dcterms:W3CDTF">2026-06-25T03:33:45Z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