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CONFIDENTIAL — OpenZeppelin internal · non-public reference design · not for external distribution</w:t>
      </w:r>
    </w:p>
    <w:bookmarkStart w:id="60" w:name="X5def80c2459207669ecebae50d66f7040bcb510"/>
    <w:p>
      <w:pPr>
        <w:pStyle w:val="Heading1"/>
      </w:pPr>
      <w:r>
        <w:t xml:space="preserve">Architectural Overview Report: Institutional Lending Protocol on Canton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reviewed reference-design report</w:t>
      </w:r>
      <w:r>
        <w:t xml:space="preserve">, non-public, outside the committed</w:t>
      </w:r>
      <w:r>
        <w:t xml:space="preserve"> </w:t>
      </w:r>
      <w:r>
        <w:t xml:space="preserve">M1 public-library surface. This is RI #2 of four — see the suite-level view in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and the index</w:t>
      </w:r>
      <w:r>
        <w:t xml:space="preserve"> </w:t>
      </w:r>
      <w:hyperlink r:id="rId10">
        <w:r>
          <w:rPr>
            <w:rStyle w:val="VerbatimChar"/>
          </w:rPr>
          <w:t xml:space="preserve">README.md</w:t>
        </w:r>
      </w:hyperlink>
      <w:r>
        <w:t xml:space="preserve">. It describes a</w:t>
      </w:r>
      <w:r>
        <w:t xml:space="preserve"> </w:t>
      </w:r>
      <w:r>
        <w:rPr>
          <w:i/>
          <w:iCs/>
        </w:rPr>
        <w:t xml:space="preserve">reference design</w:t>
      </w:r>
      <w:r>
        <w:t xml:space="preserve"> </w:t>
      </w:r>
      <w:r>
        <w:t xml:space="preserve">grounded in the</w:t>
      </w:r>
      <w:r>
        <w:t xml:space="preserve"> </w:t>
      </w:r>
      <w:r>
        <w:t xml:space="preserve">real OpenZeppelin Canton components in this workspace;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of</w:t>
      </w:r>
      <w:r>
        <w:t xml:space="preserve"> </w:t>
      </w:r>
      <w:r>
        <w:t xml:space="preserve">M1/M3 acceptance, conformance, audit readiness, or production readiness.</w:t>
      </w:r>
    </w:p>
    <w:p>
      <w:pPr>
        <w:pStyle w:val="BlockText"/>
      </w:pPr>
      <w:r>
        <w:rPr>
          <w:b/>
          <w:bCs/>
        </w:rPr>
        <w:t xml:space="preserve">Google Docs import:</w:t>
      </w:r>
      <w:r>
        <w:t xml:space="preserve"> </w:t>
      </w:r>
      <w:r>
        <w:rPr>
          <w:rStyle w:val="VerbatimChar"/>
        </w:rPr>
        <w:t xml:space="preserve">File → Open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 Docs (or paste with</w:t>
      </w:r>
      <w:r>
        <w:t xml:space="preserve"> </w:t>
      </w:r>
      <w:r>
        <w:rPr>
          <w:rStyle w:val="VerbatimChar"/>
        </w:rPr>
        <w:t xml:space="preserve">Edit → Paste</w:t>
      </w:r>
      <w:r>
        <w:t xml:space="preserve">). H1/H2/H3 headings drive the Docs outline pane; the tables</w:t>
      </w:r>
      <w:r>
        <w:t xml:space="preserve"> </w:t>
      </w:r>
      <w:r>
        <w:t xml:space="preserve">import cleanly; apply a monospace paragraph style to fenced code blocks after</w:t>
      </w:r>
      <w:r>
        <w:t xml:space="preserve"> </w:t>
      </w:r>
      <w:r>
        <w:t xml:space="preserve">import. Mermaid blocks do not render in Docs — render them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and paste the image, keeping the fenced source.</w:t>
      </w:r>
    </w:p>
    <w:p>
      <w:pPr>
        <w:pStyle w:val="BlockText"/>
      </w:pPr>
      <w:r>
        <w:rPr>
          <w:b/>
          <w:bCs/>
        </w:rPr>
        <w:t xml:space="preserve">Source-grounding tags</w:t>
      </w:r>
      <w:r>
        <w:t xml:space="preserve"> </w:t>
      </w:r>
      <w:r>
        <w:t xml:space="preserve">(used throughout):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real code in the M1 library base (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real code in an evidence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canton-token-template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,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), not</w:t>
      </w:r>
      <w:r>
        <w:t xml:space="preserve"> </w:t>
      </w:r>
      <w:r>
        <w:t xml:space="preserve">the M1 surface ·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Splice / CIP reference, not vendored here ·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proposed RI-level design, not built in M1 scope.</w:t>
      </w:r>
    </w:p>
    <w:p>
      <w:pPr>
        <w:pStyle w:val="BlockText"/>
      </w:pPr>
      <w:r>
        <w:rPr>
          <w:b/>
          <w:bCs/>
        </w:rPr>
        <w:t xml:space="preserve">Design priority order</w:t>
      </w:r>
      <w:r>
        <w:t xml:space="preserve"> </w:t>
      </w:r>
      <w:r>
        <w:t xml:space="preserve">governs every interface and snippet, in this exact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1) Readability → 2) Simplicity → 3) Security → 4) Auditability.</w:t>
      </w:r>
    </w:p>
    <w:p>
      <w:pPr>
        <w:pStyle w:val="BlockText"/>
      </w:pPr>
      <w:r>
        <w:rPr>
          <w:b/>
          <w:bCs/>
        </w:rPr>
        <w:t xml:space="preserve">Grant alignment</w:t>
      </w:r>
      <w:r>
        <w:t xml:space="preserve"> </w:t>
      </w:r>
      <w:r>
        <w:t xml:space="preserve">(source of truth:</w:t>
      </w:r>
      <w:r>
        <w:t xml:space="preserve"> </w:t>
      </w:r>
      <w:hyperlink r:id="rId11">
        <w:r>
          <w:rPr>
            <w:rStyle w:val="VerbatimChar"/>
          </w:rPr>
          <w:t xml:space="preserve">../research/canton-ecosystem-grant-proposal.md</w:t>
        </w:r>
      </w:hyperlink>
      <w:r>
        <w:t xml:space="preserve">,</w:t>
      </w:r>
      <w:r>
        <w:t xml:space="preserve"> </w:t>
      </w:r>
      <w:r>
        <w:t xml:space="preserve">scope lock:</w:t>
      </w:r>
      <w:r>
        <w:t xml:space="preserve"> </w:t>
      </w:r>
      <w:hyperlink r:id="rId12">
        <w:r>
          <w:rPr>
            <w:rStyle w:val="VerbatimChar"/>
          </w:rPr>
          <w:t xml:space="preserve">../../M3_LENDING_SCOPE.md</w:t>
        </w:r>
      </w:hyperlink>
      <w:r>
        <w:t xml:space="preserve">): this is</w:t>
      </w:r>
      <w:r>
        <w:t xml:space="preserve"> </w:t>
      </w:r>
      <w:r>
        <w:rPr>
          <w:b/>
          <w:bCs/>
        </w:rPr>
        <w:t xml:space="preserve">RI #2 (Lending Protocol)</w:t>
      </w:r>
      <w:r>
        <w:t xml:space="preserve">. This document is the</w:t>
      </w:r>
      <w:r>
        <w:t xml:space="preserve"> </w:t>
      </w:r>
      <w:r>
        <w:rPr>
          <w:b/>
          <w:bCs/>
        </w:rPr>
        <w:t xml:space="preserve">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deliverable, authored in</w:t>
      </w:r>
      <w:r>
        <w:t xml:space="preserve"> </w:t>
      </w:r>
      <w:r>
        <w:rPr>
          <w:b/>
          <w:bCs/>
        </w:rPr>
        <w:t xml:space="preserve">grant M1</w:t>
      </w:r>
      <w:r>
        <w:t xml:space="preserve"> </w:t>
      </w:r>
      <w:r>
        <w:t xml:space="preserve">(research &amp; design) for</w:t>
      </w:r>
      <w:r>
        <w:t xml:space="preserve"> </w:t>
      </w:r>
      <w:r>
        <w:t xml:space="preserve">the Lending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grant M3</w:t>
      </w:r>
      <w:r>
        <w:t xml:space="preserve"> </w:t>
      </w:r>
      <w:r>
        <w:t xml:space="preserve">(Q3 2026). Its companion</w:t>
      </w:r>
      <w:r>
        <w:t xml:space="preserve"> </w:t>
      </w:r>
      <w:r>
        <w:t xml:space="preserve">deliverables — working reference code, demo front-end, threat model, and (where</w:t>
      </w:r>
      <w:r>
        <w:t xml:space="preserve"> </w:t>
      </w:r>
      <w:r>
        <w:t xml:space="preserve">relevant) an FI evaluation guide — are</w:t>
      </w:r>
      <w:r>
        <w:t xml:space="preserve"> </w:t>
      </w:r>
      <w:r>
        <w:rPr>
          <w:b/>
          <w:bCs/>
        </w:rPr>
        <w:t xml:space="preserve">named here but delivered in M3</w:t>
      </w:r>
      <w:r>
        <w:t xml:space="preserve"> </w:t>
      </w:r>
      <w:r>
        <w:t xml:space="preserve">(MIT-licensed). The report honors the</w:t>
      </w:r>
      <w:r>
        <w:t xml:space="preserve"> </w:t>
      </w:r>
      <w:r>
        <w:rPr>
          <w:b/>
          <w:bCs/>
        </w:rPr>
        <w:t xml:space="preserve">CIP-56 → CIP-0112 / Token Standard V2</w:t>
      </w:r>
      <w:r>
        <w:rPr>
          <w:b/>
          <w:bCs/>
        </w:rPr>
        <w:t xml:space="preserve"> </w:t>
      </w:r>
      <w:r>
        <w:rPr>
          <w:b/>
          <w:bCs/>
        </w:rPr>
        <w:t xml:space="preserve">retarget</w:t>
      </w:r>
      <w:r>
        <w:t xml:space="preserve">: settlement builds only on V2 abstractions.</w:t>
      </w:r>
    </w:p>
    <w:p>
      <w:r>
        <w:pict>
          <v:rect style="width:0;height:1.5pt" o:hralign="center" o:hrstd="t" o:hr="t"/>
        </w:pict>
      </w:r>
    </w:p>
    <w:bookmarkStart w:id="16" w:name="Xcc952582605ac7fe4410949cdf82e28a92b31f4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This Reference Implementation (RI) is a fixed-rate, overcollateralized,</w:t>
      </w:r>
      <w:r>
        <w:t xml:space="preserve"> </w:t>
      </w:r>
      <w:r>
        <w:t xml:space="preserve">permissioned lending protocol designed for the Canton Network. It is a blueprint</w:t>
      </w:r>
      <w:r>
        <w:t xml:space="preserve"> </w:t>
      </w:r>
      <w:r>
        <w:t xml:space="preserve">for regulated DeFi lending workflows built around the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— an isolated</w:t>
      </w:r>
      <w:r>
        <w:t xml:space="preserve"> </w:t>
      </w:r>
      <w:r>
        <w:t xml:space="preserve">collateralized debt position (CDP) mapped onto Canton's privacy and settlement</w:t>
      </w:r>
      <w:r>
        <w:t xml:space="preserve"> </w:t>
      </w:r>
      <w:r>
        <w:t xml:space="preserve">primitives.</w:t>
      </w:r>
    </w:p>
    <w:p>
      <w:pPr>
        <w:pStyle w:val="BodyText"/>
      </w:pPr>
      <w:r>
        <w:t xml:space="preserve">The architecture adapts the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 </w:t>
      </w:r>
      <w:r>
        <w:t xml:space="preserve">codebase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and wires</w:t>
      </w:r>
      <w:r>
        <w:t xml:space="preserve"> </w:t>
      </w:r>
      <w:r>
        <w:t xml:space="preserve">it onto the</w:t>
      </w:r>
      <w:r>
        <w:t xml:space="preserve"> </w:t>
      </w:r>
      <w:r>
        <w:rPr>
          <w:b/>
          <w:bCs/>
        </w:rPr>
        <w:t xml:space="preserve">CIP-0112 / Token Standard V2 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OpenZeppelin.Experimental.Settlement.Cip112</w:t>
      </w:r>
      <w:r>
        <w:t xml:space="preserve">). It embeds credential gating via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and capability-based access control via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, combining DeFi composability with</w:t>
      </w:r>
      <w:r>
        <w:t xml:space="preserve"> </w:t>
      </w:r>
      <w:r>
        <w:t xml:space="preserve">institutional compliance prerequisites. The target utility is tokenized treasury</w:t>
      </w:r>
      <w:r>
        <w:t xml:space="preserve"> </w:t>
      </w:r>
      <w:r>
        <w:t xml:space="preserve">operations, collateral mobility, and stablecoin issuance for institutional</w:t>
      </w:r>
      <w:r>
        <w:t xml:space="preserve"> </w:t>
      </w:r>
      <w:r>
        <w:t xml:space="preserve">actors who require deterministic outcomes with operational privacy.</w:t>
      </w:r>
    </w:p>
    <w:bookmarkStart w:id="13" w:name="Xbe9092b744aca8f220a766eba2ffc5904307782"/>
    <w:p>
      <w:pPr>
        <w:pStyle w:val="Heading3"/>
      </w:pPr>
      <w:r>
        <w:t xml:space="preserve">Educational Framing: Contract-per-Vault vs. Share-Accounting</w:t>
      </w:r>
    </w:p>
    <w:p>
      <w:pPr>
        <w:pStyle w:val="FirstParagraph"/>
      </w:pPr>
      <w:r>
        <w:t xml:space="preserve">Canton's structural paradigm diverges sharply from Ethereum's ERC-4626. Under</w:t>
      </w:r>
      <w:r>
        <w:t xml:space="preserve"> </w:t>
      </w:r>
      <w:r>
        <w:t xml:space="preserve">ERC-4626, a single globally visible contract manages pooled liquidity, debt</w:t>
      </w:r>
      <w:r>
        <w:t xml:space="preserve"> </w:t>
      </w:r>
      <w:r>
        <w:t xml:space="preserve">shares, and dynamic interest accrual for all participants — a monolithic state</w:t>
      </w:r>
      <w:r>
        <w:t xml:space="preserve"> </w:t>
      </w:r>
      <w:r>
        <w:t xml:space="preserve">that broadcasts every participant's collateral balance and liquidation</w:t>
      </w:r>
      <w:r>
        <w:t xml:space="preserve"> </w:t>
      </w:r>
      <w:r>
        <w:t xml:space="preserve">threshold publicly.</w:t>
      </w:r>
    </w:p>
    <w:p>
      <w:pPr>
        <w:pStyle w:val="BodyText"/>
      </w:pPr>
      <w:r>
        <w:t xml:space="preserve">Canton operates on a UTXO-like model driven by Daml. The</w:t>
      </w:r>
      <w:r>
        <w:t xml:space="preserve"> </w:t>
      </w:r>
      <w:r>
        <w:rPr>
          <w:b/>
          <w:bCs/>
        </w:rPr>
        <w:t xml:space="preserve">vault-as-contract</w:t>
      </w:r>
      <w:r>
        <w:t xml:space="preserve"> </w:t>
      </w:r>
      <w:r>
        <w:t xml:space="preserve">model deploys a discrete, isolated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contract for each borrower-issuer</w:t>
      </w:r>
      <w:r>
        <w:t xml:space="preserve"> </w:t>
      </w:r>
      <w:r>
        <w:t xml:space="preserve">relationship. This enforces Canton's per-party-projection privacy: a borrower's</w:t>
      </w:r>
      <w:r>
        <w:t xml:space="preserve"> </w:t>
      </w:r>
      <w:r>
        <w:t xml:space="preserve">collateral, debt, and liquidation threshold are concealed from the broader</w:t>
      </w:r>
      <w:r>
        <w:t xml:space="preserve"> </w:t>
      </w:r>
      <w:r>
        <w:t xml:space="preserve">network — observable only to the borrower, the vault issuer, and any regulatory</w:t>
      </w:r>
      <w:r>
        <w:t xml:space="preserve"> </w:t>
      </w:r>
      <w:r>
        <w:t xml:space="preserve">nodes explicitly placed in the contract's observer set. Replacing dynamic,</w:t>
      </w:r>
      <w:r>
        <w:t xml:space="preserve"> </w:t>
      </w:r>
      <w:r>
        <w:t xml:space="preserve">algorithmic rate curves with</w:t>
      </w:r>
      <w:r>
        <w:t xml:space="preserve"> </w:t>
      </w:r>
      <w:r>
        <w:rPr>
          <w:b/>
          <w:bCs/>
        </w:rPr>
        <w:t xml:space="preserve">fixed-rate, term-locked</w:t>
      </w:r>
      <w:r>
        <w:t xml:space="preserve"> </w:t>
      </w:r>
      <w:r>
        <w:t xml:space="preserve">parameters radically</w:t>
      </w:r>
      <w:r>
        <w:t xml:space="preserve"> </w:t>
      </w:r>
      <w:r>
        <w:t xml:space="preserve">simplifies auditability and yields a predictable primitive that is verifiable by</w:t>
      </w:r>
      <w:r>
        <w:t xml:space="preserve"> </w:t>
      </w:r>
      <w:r>
        <w:t xml:space="preserve">formal methods, avoiding the exploit vectors of utilization-based rate curves.</w:t>
      </w:r>
    </w:p>
    <w:p>
      <w:pPr>
        <w:pStyle w:val="BodyText"/>
      </w:pPr>
      <w:r>
        <w:t xml:space="preserve">This is a deliberate departure from OpenZeppelin's own ERC-4626 tokenized-vault</w:t>
      </w:r>
      <w:r>
        <w:t xml:space="preserve"> </w:t>
      </w:r>
      <w:r>
        <w:t xml:space="preserve">lineage (which the grant cites as cross-ecosystem experience): a share-accounting</w:t>
      </w:r>
      <w:r>
        <w:t xml:space="preserve"> </w:t>
      </w:r>
      <w:r>
        <w:t xml:space="preserve">vault — one contract tracking a pooled underlying-to-share exchange rate, updated</w:t>
      </w:r>
      <w:r>
        <w:t xml:space="preserve"> </w:t>
      </w:r>
      <w:r>
        <w:t xml:space="preserve">by a</w:t>
      </w:r>
      <w:r>
        <w:t xml:space="preserve"> </w:t>
      </w:r>
      <w:r>
        <w:rPr>
          <w:rStyle w:val="VerbatimChar"/>
        </w:rPr>
        <w:t xml:space="preserve">UpdateSharePrice</w:t>
      </w:r>
      <w:r>
        <w:t xml:space="preserve">-style choice — is an EVM-shaped pattern, not a</w:t>
      </w:r>
      <w:r>
        <w:t xml:space="preserve"> </w:t>
      </w:r>
      <w:r>
        <w:t xml:space="preserve">Canton-idiomatic one, and it would broadcast pooled positions. The reference</w:t>
      </w:r>
      <w:r>
        <w:t xml:space="preserve"> </w:t>
      </w:r>
      <w:r>
        <w:t xml:space="preserve">design is also explicitly</w:t>
      </w:r>
      <w:r>
        <w:t xml:space="preserve"> </w:t>
      </w:r>
      <w:r>
        <w:rPr>
          <w:b/>
          <w:bCs/>
        </w:rPr>
        <w:t xml:space="preserve">keyless</w:t>
      </w:r>
      <w:r>
        <w:t xml:space="preserve">: there is no</w:t>
      </w:r>
      <w:r>
        <w:t xml:space="preserve"> </w:t>
      </w:r>
      <w:r>
        <w:rPr>
          <w:rStyle w:val="VerbatimChar"/>
        </w:rPr>
        <w:t xml:space="preserve">(operator, vaultId)</w:t>
      </w:r>
      <w:r>
        <w:t xml:space="preserve">-keyed</w:t>
      </w:r>
      <w:r>
        <w:t xml:space="preserve"> </w:t>
      </w:r>
      <w:r>
        <w:rPr>
          <w:rStyle w:val="VerbatimChar"/>
        </w:rPr>
        <w:t xml:space="preserve">VaultState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VaultConfig</w:t>
      </w:r>
      <w:r>
        <w:t xml:space="preserve"> </w:t>
      </w:r>
      <w:r>
        <w:t xml:space="preserve">singleton resolved by</w:t>
      </w:r>
      <w:r>
        <w:t xml:space="preserve"> </w:t>
      </w:r>
      <w:r>
        <w:rPr>
          <w:rStyle w:val="VerbatimChar"/>
        </w:rPr>
        <w:t xml:space="preserve">fetchByKey</w:t>
      </w:r>
      <w:r>
        <w:t xml:space="preserve">. Daml-LF 2.1 has</w:t>
      </w:r>
      <w:r>
        <w:t xml:space="preserve"> </w:t>
      </w:r>
      <w:r>
        <w:t xml:space="preserve">no contract keys; configuration (</w:t>
      </w:r>
      <w:r>
        <w:rPr>
          <w:rStyle w:val="VerbatimChar"/>
        </w:rPr>
        <w:t xml:space="preserve">VaultParams</w:t>
      </w:r>
      <w:r>
        <w:t xml:space="preserve">) and state (</w:t>
      </w:r>
      <w:r>
        <w:rPr>
          <w:rStyle w:val="VerbatimChar"/>
        </w:rPr>
        <w:t xml:space="preserve">Vault</w:t>
      </w:r>
      <w:r>
        <w:t xml:space="preserve">) are separate</w:t>
      </w:r>
      <w:r>
        <w:t xml:space="preserve"> </w:t>
      </w:r>
      <w:r>
        <w:rPr>
          <w:i/>
          <w:iCs/>
        </w:rPr>
        <w:t xml:space="preserve">contracts</w:t>
      </w:r>
      <w:r>
        <w:t xml:space="preserve"> </w:t>
      </w:r>
      <w:r>
        <w:t xml:space="preserve">referenced by ContractId, and every state change is</w:t>
      </w:r>
      <w:r>
        <w:t xml:space="preserve"> </w:t>
      </w:r>
      <w:r>
        <w:t xml:space="preserve">archive-and-recreate. Routing the protocol through pooled shares or contract-key</w:t>
      </w:r>
      <w:r>
        <w:t xml:space="preserve"> </w:t>
      </w:r>
      <w:r>
        <w:t xml:space="preserve">lookups would break both the per-borrower privacy model and the keyless</w:t>
      </w:r>
      <w:r>
        <w:t xml:space="preserve"> </w:t>
      </w:r>
      <w:r>
        <w:t xml:space="preserve">settlement semantics the spine depends on.</w:t>
      </w:r>
    </w:p>
    <w:bookmarkEnd w:id="13"/>
    <w:bookmarkStart w:id="14" w:name="scope-definition"/>
    <w:p>
      <w:pPr>
        <w:pStyle w:val="Heading3"/>
      </w:pPr>
      <w:r>
        <w:t xml:space="preserve">Scope Definition</w:t>
      </w:r>
    </w:p>
    <w:p>
      <w:pPr>
        <w:pStyle w:val="FirstParagraph"/>
      </w:pPr>
      <w:r>
        <w:t xml:space="preserve">The bias favors simplicity, modular extensibility, and a demonstrably correct</w:t>
      </w:r>
      <w:r>
        <w:t xml:space="preserve"> </w:t>
      </w:r>
      <w:r>
        <w:t xml:space="preserve">core over feature complexity.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Domain</w:t>
            </w:r>
          </w:p>
        </w:tc>
        <w:tc>
          <w:tcPr/>
          <w:p>
            <w:pPr>
              <w:pStyle w:val="Compact"/>
            </w:pPr>
            <w:r>
              <w:t xml:space="preserve">IN SCOPE (Reference design)</w:t>
            </w:r>
          </w:p>
        </w:tc>
        <w:tc>
          <w:tcPr/>
          <w:p>
            <w:pPr>
              <w:pStyle w:val="Compact"/>
            </w:pPr>
            <w:r>
              <w:t xml:space="preserve">OUT OF SCOPE (Excluded)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Model</w:t>
            </w:r>
          </w:p>
        </w:tc>
        <w:tc>
          <w:tcPr/>
          <w:p>
            <w:pPr>
              <w:pStyle w:val="Compact"/>
            </w:pPr>
            <w:r>
              <w:t xml:space="preserve">Fixed-rate, fixed-term lending.</w:t>
            </w:r>
            <w:r>
              <w:t xml:space="preserve"> </w:t>
            </w:r>
            <w:r>
              <w:rPr>
                <w:rStyle w:val="VerbatimChar"/>
              </w:rPr>
              <w:t xml:space="preserve">stabilityFeeRate</w:t>
            </w:r>
            <w:r>
              <w:t xml:space="preserve"> </w:t>
            </w:r>
            <w:r>
              <w:t xml:space="preserve">is an immutable, term-locked parameter in</w:t>
            </w:r>
            <w:r>
              <w:t xml:space="preserve"> </w:t>
            </w:r>
            <w:r>
              <w:rPr>
                <w:rStyle w:val="VerbatimChar"/>
              </w:rPr>
              <w:t xml:space="preserve">VaultParams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Dynamic / variable / algorithmic rates, utilization rate curves, floating-rate oracles.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Collateralization</w:t>
            </w:r>
          </w:p>
        </w:tc>
        <w:tc>
          <w:tcPr/>
          <w:p>
            <w:pPr>
              <w:pStyle w:val="Compact"/>
            </w:pPr>
            <w:r>
              <w:t xml:space="preserve">Overcollateralized borrowing against on-ledger assets; collateral deposit, withdrawal, debt repayment.</w:t>
            </w:r>
          </w:p>
        </w:tc>
        <w:tc>
          <w:tcPr/>
          <w:p>
            <w:pPr>
              <w:pStyle w:val="Compact"/>
            </w:pPr>
            <w:r>
              <w:t xml:space="preserve">Undercollateralized loans, flash loans, recursive leverage, rehypothecation.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Vault_Liquidate</w:t>
            </w:r>
            <w:r>
              <w:t xml:space="preserve"> </w:t>
            </w:r>
            <w:r>
              <w:t xml:space="preserve">on undercollateralization — fixed-discount collateral seizure with a fixed</w:t>
            </w:r>
            <w:r>
              <w:t xml:space="preserve"> </w:t>
            </w:r>
            <w:r>
              <w:rPr>
                <w:rStyle w:val="VerbatimChar"/>
              </w:rPr>
              <w:t xml:space="preserve">liquidationBonus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Dynamic liquidation auctions, fractional liquidations, market-driven bidding wars.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Atomic DvP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SettlementFactory_SettleBatch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Direct un-batched</w:t>
            </w:r>
            <w:r>
              <w:t xml:space="preserve"> </w:t>
            </w:r>
            <w:r>
              <w:rPr>
                <w:rStyle w:val="VerbatimChar"/>
              </w:rPr>
              <w:t xml:space="preserve">Allocation_Settle</w:t>
            </w:r>
            <w:r>
              <w:t xml:space="preserve"> </w:t>
            </w:r>
            <w:r>
              <w:t xml:space="preserve">for co-settlement.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PriceOracle</w:t>
            </w:r>
            <w:r>
              <w:t xml:space="preserve"> </w:t>
            </w:r>
            <w:r>
              <w:t xml:space="preserve">mapping a single collateral asset to debt units for solvency thresholds.</w:t>
            </w:r>
          </w:p>
        </w:tc>
        <w:tc>
          <w:tcPr/>
          <w:p>
            <w:pPr>
              <w:pStyle w:val="Compact"/>
            </w:pPr>
            <w:r>
              <w:t xml:space="preserve">Multi-asset dynamic oracles, external off-chain TWAP aggregators.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Compliance</w:t>
            </w:r>
          </w:p>
        </w:tc>
        <w:tc>
          <w:tcPr/>
          <w:p>
            <w:pPr>
              <w:pStyle w:val="Compact"/>
            </w:pPr>
            <w:r>
              <w:t xml:space="preserve">D1 Shape B (signed node attestation) using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; credential gating via</w:t>
            </w:r>
            <w:r>
              <w:t xml:space="preserve"> </w:t>
            </w:r>
            <w:r>
              <w:rPr>
                <w:rStyle w:val="VerbatimChar"/>
              </w:rPr>
              <w:t xml:space="preserve">zk-credential-gateway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Cross-domain identity aggregation (ERC-3643, ONCHAINID, Chainlink CCID) — deferred, SCU-forward-compatible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&amp; Access</w:t>
            </w:r>
          </w:p>
        </w:tc>
        <w:tc>
          <w:tcPr/>
          <w:p>
            <w:pPr>
              <w:pStyle w:val="Compact"/>
            </w:pPr>
            <w:r>
              <w:t xml:space="preserve">Single-admin capability (</w:t>
            </w:r>
            <w:r>
              <w:rPr>
                <w:rStyle w:val="VerbatimChar"/>
              </w:rPr>
              <w:t xml:space="preserve">oz-access-control</w:t>
            </w:r>
            <w:r>
              <w:t xml:space="preserve">) for mint/burn/seizure/handoff. Multi-party attestation is a</w:t>
            </w:r>
            <w:r>
              <w:t xml:space="preserve"> </w:t>
            </w:r>
            <w:r>
              <w:rPr>
                <w:b/>
                <w:bCs/>
              </w:rPr>
              <w:t xml:space="preserve">named M3 extension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On-ledger multi-sig / DAO execution.</w:t>
            </w:r>
          </w:p>
        </w:tc>
      </w:tr>
    </w:tbl>
    <w:bookmarkEnd w:id="14"/>
    <w:bookmarkStart w:id="15" w:name="target-users"/>
    <w:p>
      <w:pPr>
        <w:pStyle w:val="Heading3"/>
      </w:pPr>
      <w:r>
        <w:t xml:space="preserve">Target Users</w:t>
      </w:r>
    </w:p>
    <w:p>
      <w:pPr>
        <w:pStyle w:val="FirstParagraph"/>
      </w:pPr>
      <w:r>
        <w:t xml:space="preserve">Institutional asset managers, tokenized-fund issuers, and regulated stablecoin</w:t>
      </w:r>
      <w:r>
        <w:t xml:space="preserve"> </w:t>
      </w:r>
      <w:r>
        <w:t xml:space="preserve">operators that need high-value collateralized transactions, robust risk</w:t>
      </w:r>
      <w:r>
        <w:t xml:space="preserve"> </w:t>
      </w:r>
      <w:r>
        <w:t xml:space="preserve">parameters, and integration with compliance registries over decentralized,</w:t>
      </w:r>
      <w:r>
        <w:t xml:space="preserve"> </w:t>
      </w:r>
      <w:r>
        <w:t xml:space="preserve">resilient rails — without public data leakage.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09f531ea831262c8823f074014ceb66eca72b14"/>
    <w:p>
      <w:pPr>
        <w:pStyle w:val="Heading2"/>
      </w:pPr>
      <w:r>
        <w:t xml:space="preserve">2. Architecture Overview</w:t>
      </w:r>
    </w:p>
    <w:p>
      <w:pPr>
        <w:pStyle w:val="FirstParagraph"/>
      </w:pPr>
      <w:r>
        <w:t xml:space="preserve">The protocol decomposes into modular Daml templates mapped to life-cycle stages,</w:t>
      </w:r>
      <w:r>
        <w:t xml:space="preserve"> </w:t>
      </w:r>
      <w:r>
        <w:t xml:space="preserve">with strict role-based access control and a clean separation across collateral</w:t>
      </w:r>
      <w:r>
        <w:t xml:space="preserve"> </w:t>
      </w:r>
      <w:r>
        <w:t xml:space="preserve">custody, debt issuance, economic parameterization, and liquidation.</w:t>
      </w:r>
    </w:p>
    <w:bookmarkStart w:id="17" w:name="Xf20fadb75d896e33297c96631621024419dd71d"/>
    <w:p>
      <w:pPr>
        <w:pStyle w:val="Heading3"/>
      </w:pPr>
      <w:r>
        <w:t xml:space="preserve">System Components and Library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Library Origin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Immutable risk config:</w:t>
            </w:r>
            <w:r>
              <w:t xml:space="preserve"> </w:t>
            </w:r>
            <w:r>
              <w:rPr>
                <w:rStyle w:val="VerbatimChar"/>
              </w:rPr>
              <w:t xml:space="preserve">minCollateralRatio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liquidationRatio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liquidationBonus</w:t>
            </w:r>
            <w:r>
              <w:t xml:space="preserve">, fixed</w:t>
            </w:r>
            <w:r>
              <w:t xml:space="preserve"> </w:t>
            </w:r>
            <w:r>
              <w:rPr>
                <w:rStyle w:val="VerbatimChar"/>
              </w:rPr>
              <w:t xml:space="preserve">stabilityFeeRate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Vault creation entry point (</w:t>
            </w:r>
            <w:r>
              <w:rPr>
                <w:rStyle w:val="VerbatimChar"/>
              </w:rPr>
              <w:t xml:space="preserve">VaultFactory_OpenVault</w:t>
            </w:r>
            <w:r>
              <w:t xml:space="preserve">); the RI layers an initial compliance check before opening.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Stateful CDP:</w:t>
            </w:r>
            <w:r>
              <w:t xml:space="preserve"> </w:t>
            </w:r>
            <w:r>
              <w:rPr>
                <w:rStyle w:val="VerbatimChar"/>
              </w:rPr>
              <w:t xml:space="preserve">collateralAmount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lastAccrualTime</w:t>
            </w:r>
            <w:r>
              <w:t xml:space="preserve">; choices</w:t>
            </w:r>
            <w:r>
              <w:t xml:space="preserve"> </w:t>
            </w:r>
            <w:r>
              <w:rPr>
                <w:rStyle w:val="VerbatimChar"/>
              </w:rPr>
              <w:t xml:space="preserve">Vault_DepositCollateral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Vault_WithdrawCollateral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Vault_MintStablecoin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Vault_BurnStablecoin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Vault_Liquidate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Vault_Close</w:t>
            </w:r>
            <w:r>
              <w:t xml:space="preserve">; helpers</w:t>
            </w:r>
            <w:r>
              <w:t xml:space="preserve"> </w:t>
            </w:r>
            <w:r>
              <w:rPr>
                <w:rStyle w:val="VerbatimChar"/>
              </w:rPr>
              <w:t xml:space="preserve">accrueDebt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collateralRatio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Trusted feed:</w:t>
            </w:r>
            <w:r>
              <w:t xml:space="preserve"> </w:t>
            </w:r>
            <w:r>
              <w:rPr>
                <w:rStyle w:val="VerbatimChar"/>
              </w:rPr>
              <w:t xml:space="preserve">collateralInstrumentId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observers</w:t>
            </w:r>
            <w:r>
              <w:t xml:space="preserve">; updated via</w:t>
            </w:r>
            <w:r>
              <w:t xml:space="preserve"> </w:t>
            </w:r>
            <w:r>
              <w:rPr>
                <w:rStyle w:val="VerbatimChar"/>
              </w:rPr>
              <w:t xml:space="preserve">PriceOracle_UpdatePrice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</w:p>
        </w:tc>
        <w:tc>
          <w:tcPr/>
          <w:p>
            <w:pPr>
              <w:pStyle w:val="Compact"/>
            </w:pPr>
            <w:r>
              <w:t xml:space="preserve">Atomic multi-leg settlement: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SettlementFactory_CreateAllocationRequest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…_CreateAllocationInstruction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…_SettleBatch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roleId : MyRole -&gt; Text</w:t>
            </w:r>
            <w:r>
              <w:t xml:space="preserve"> </w:t>
            </w:r>
            <w:r>
              <w:t xml:space="preserve">closed-sum wrapper prevents string-matching role collisions.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</w:t>
            </w:r>
            <w:r>
              <w:t xml:space="preserve">/</w:t>
            </w:r>
            <w:r>
              <w:rPr>
                <w:rStyle w:val="VerbatimChar"/>
              </w:rPr>
              <w:t xml:space="preserve">OwnershipOffer</w:t>
            </w:r>
            <w:r>
              <w:t xml:space="preserve"> </w:t>
            </w:r>
            <w:r>
              <w:t xml:space="preserve">for handoff;</w:t>
            </w:r>
            <w:r>
              <w:t xml:space="preserve"> </w:t>
            </w:r>
            <w:r>
              <w:rPr>
                <w:rStyle w:val="VerbatimChar"/>
              </w:rPr>
              <w:t xml:space="preserve">PauseState</w:t>
            </w:r>
            <w:r>
              <w:t xml:space="preserve">/</w:t>
            </w:r>
            <w:r>
              <w:rPr>
                <w:rStyle w:val="VerbatimChar"/>
              </w:rPr>
              <w:t xml:space="preserve">whenNotPaused</w:t>
            </w:r>
            <w:r>
              <w:t xml:space="preserve"> </w:t>
            </w:r>
            <w:r>
              <w:t xml:space="preserve">kill-switch.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MockVerifierAuthorization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CredentialRevocationStatus</w:t>
            </w:r>
            <w:r>
              <w:t xml:space="preserve"> </w:t>
            </w:r>
            <w:r>
              <w:t xml:space="preserve">for KYC gating.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Typed D3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Shape-B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 </w:t>
            </w:r>
            <w:r>
              <w:t xml:space="preserve">— the forward-compatible D3 shape, layered via SCU.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Attribution note: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 the typed D3</w:t>
      </w:r>
      <w:r>
        <w:t xml:space="preserve"> </w:t>
      </w:r>
      <w:r>
        <w:t xml:space="preserve">identity</w:t>
      </w:r>
      <w:r>
        <w:t xml:space="preserve"> </w:t>
      </w:r>
      <w:r>
        <w:rPr>
          <w:b/>
          <w:bCs/>
        </w:rPr>
        <w:t xml:space="preserve">Shape-B</w:t>
      </w:r>
      <w:r>
        <w:t xml:space="preserve"> </w:t>
      </w:r>
      <w:r>
        <w:t xml:space="preserve">types demonstrated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identity-hook-shape-b / identity-hook-upgrade experiments,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templates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. The gateway supplies the gating/verification</w:t>
      </w:r>
      <w:r>
        <w:t xml:space="preserve"> </w:t>
      </w:r>
      <w:r>
        <w:t xml:space="preserve">primitives; the typed KYC claim shape is the forward-compatible target.</w:t>
      </w:r>
    </w:p>
    <w:bookmarkEnd w:id="17"/>
    <w:bookmarkStart w:id="18" w:name="party-and-role-model"/>
    <w:p>
      <w:pPr>
        <w:pStyle w:val="Heading3"/>
      </w:pPr>
      <w:r>
        <w:t xml:space="preserve">Party and Role Model</w:t>
      </w:r>
    </w:p>
    <w:p>
      <w:pPr>
        <w:pStyle w:val="FirstParagraph"/>
      </w:pPr>
      <w:r>
        <w:t xml:space="preserve">Data visibility is bounded by contract participation (signatory/observer).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/ Issuer</w:t>
      </w:r>
      <w:r>
        <w:t xml:space="preserve"> </w:t>
      </w:r>
      <w:r>
        <w:t xml:space="preserve">— primary underwriter of the stablecoin and debt tokens.</w:t>
      </w:r>
      <w:r>
        <w:t xml:space="preserve"> </w:t>
      </w:r>
      <w:r>
        <w:t xml:space="preserve">Assigned via</w:t>
      </w:r>
      <w:r>
        <w:t xml:space="preserve"> </w:t>
      </w:r>
      <w:r>
        <w:rPr>
          <w:rStyle w:val="VerbatimChar"/>
        </w:rPr>
        <w:t xml:space="preserve">RoleAdmin</w:t>
      </w:r>
      <w:r>
        <w:t xml:space="preserve">; holds the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t xml:space="preserve">and configures 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. Guarantor of economic integrity.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Borrower</w:t>
      </w:r>
      <w:r>
        <w:t xml:space="preserve"> </w:t>
      </w:r>
      <w:r>
        <w:t xml:space="preserve">— institutional entity locking collateral. Must present a valid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derived from a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to interact with the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. Visibility limited to their own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s and public config.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Liquidator</w:t>
      </w:r>
      <w:r>
        <w:t xml:space="preserve"> </w:t>
      </w:r>
      <w:r>
        <w:t xml:space="preserve">— specialized role granted via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. Runs</w:t>
      </w:r>
      <w:r>
        <w:t xml:space="preserve"> </w:t>
      </w:r>
      <w:r>
        <w:t xml:space="preserve">off-ledger monitoring of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and vault solvency; authorized to</w:t>
      </w:r>
      <w:r>
        <w:t xml:space="preserve"> </w:t>
      </w:r>
      <w:r>
        <w:t xml:space="preserve">exercise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t xml:space="preserve">on a breach.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Oracle Provider</w:t>
      </w:r>
      <w:r>
        <w:t xml:space="preserve"> </w:t>
      </w:r>
      <w:r>
        <w:t xml:space="preserve">— authorized via a specific</w:t>
      </w:r>
      <w:r>
        <w:t xml:space="preserve"> </w:t>
      </w:r>
      <w:r>
        <w:rPr>
          <w:rStyle w:val="VerbatimChar"/>
        </w:rPr>
        <w:t xml:space="preserve">RoleGrant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PriceOracle_UpdatePrice</w:t>
      </w:r>
      <w:r>
        <w:t xml:space="preserve">. Tightly guarded given oracle-manipulation risk.</w:t>
      </w:r>
    </w:p>
    <w:bookmarkEnd w:id="18"/>
    <w:bookmarkStart w:id="19" w:name="trust-and-topology"/>
    <w:p>
      <w:pPr>
        <w:pStyle w:val="Heading3"/>
      </w:pPr>
      <w:r>
        <w:t xml:space="preserve">Trust and Topology</w:t>
      </w:r>
    </w:p>
    <w:p>
      <w:pPr>
        <w:pStyle w:val="FirstParagraph"/>
      </w:pPr>
      <w:r>
        <w:t xml:space="preserve">The topology separates public market data from private positions.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VaultParams</w:t>
      </w:r>
      <w:r>
        <w:t xml:space="preserve"> </w:t>
      </w:r>
      <w:r>
        <w:t xml:space="preserve">are highly visible (signatory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broad observer set), so</w:t>
      </w:r>
      <w:r>
        <w:t xml:space="preserve"> </w:t>
      </w:r>
      <w:r>
        <w:t xml:space="preserve">participants can independently verify the governing parameters. The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minimizes its observer set 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the specific</w:t>
      </w:r>
      <w:r>
        <w:t xml:space="preserve"> </w:t>
      </w:r>
      <w:r>
        <w:rPr>
          <w:rStyle w:val="VerbatimChar"/>
        </w:rPr>
        <w:t xml:space="preserve">borrower</w:t>
      </w:r>
      <w:r>
        <w:t xml:space="preserve">, and designated</w:t>
      </w:r>
      <w:r>
        <w:t xml:space="preserve"> </w:t>
      </w:r>
      <w:r>
        <w:t xml:space="preserve">regulatory nodes only. Because Canton applies transaction execution at the</w:t>
      </w:r>
      <w:r>
        <w:t xml:space="preserve"> </w:t>
      </w:r>
      <w:r>
        <w:t xml:space="preserve">hosting participant node, compliance checks run locally, fail-closed, on every</w:t>
      </w:r>
      <w:r>
        <w:t xml:space="preserve"> </w:t>
      </w:r>
      <w:r>
        <w:t xml:space="preserve">settlement leg before global finalization — no external API calls, no caching.</w:t>
      </w:r>
    </w:p>
    <w:p>
      <w:pPr>
        <w:pStyle w:val="BodyText"/>
      </w:pPr>
      <w:r>
        <w:t xml:space="preserve">M1 uses</w:t>
      </w:r>
      <w:r>
        <w:t xml:space="preserve"> </w:t>
      </w:r>
      <w:r>
        <w:rPr>
          <w:b/>
          <w:bCs/>
        </w:rPr>
        <w:t xml:space="preserve">single-admin capability authority</w:t>
      </w:r>
      <w:r>
        <w:t xml:space="preserve"> </w:t>
      </w:r>
      <w:r>
        <w:t xml:space="preserve">for mint/burn/seizure. The</w:t>
      </w:r>
      <w:r>
        <w:t xml:space="preserve"> </w:t>
      </w:r>
      <w:r>
        <w:t xml:space="preserve">architecture anticipates</w:t>
      </w:r>
      <w:r>
        <w:t xml:space="preserve"> </w:t>
      </w:r>
      <w:r>
        <w:rPr>
          <w:b/>
          <w:bCs/>
        </w:rPr>
        <w:t xml:space="preserve">Multi-Party Attestation</w:t>
      </w:r>
      <w:r>
        <w:t xml:space="preserve"> </w:t>
      </w:r>
      <w:r>
        <w:t xml:space="preserve">as a named M3 extension: a</w:t>
      </w:r>
      <w:r>
        <w:t xml:space="preserve"> </w:t>
      </w:r>
      <w:r>
        <w:t xml:space="preserve">vault issuer that is</w:t>
      </w:r>
      <w:r>
        <w:t xml:space="preserve"> </w:t>
      </w:r>
      <w:r>
        <w:rPr>
          <w:i/>
          <w:iCs/>
        </w:rPr>
        <w:t xml:space="preserve">multiply attested</w:t>
      </w:r>
      <w:r>
        <w:t xml:space="preserve">, where several independent attestors</w:t>
      </w:r>
      <w:r>
        <w:t xml:space="preserve"> </w:t>
      </w:r>
      <w:r>
        <w:t xml:space="preserve">hold distinct</w:t>
      </w:r>
      <w:r>
        <w:t xml:space="preserve"> </w:t>
      </w:r>
      <w:r>
        <w:rPr>
          <w:rStyle w:val="VerbatimChar"/>
        </w:rPr>
        <w:t xml:space="preserve">MockVerifierAuthorization</w:t>
      </w:r>
      <w:r>
        <w:t xml:space="preserve"> </w:t>
      </w:r>
      <w:r>
        <w:t xml:space="preserve">roles and a vault is compliant only</w:t>
      </w:r>
      <w:r>
        <w:t xml:space="preserve"> </w:t>
      </w:r>
      <w:r>
        <w:t xml:space="preserve">when the required attestors' credentials overlap — decentralizing the trust</w:t>
      </w:r>
      <w:r>
        <w:t xml:space="preserve"> </w:t>
      </w:r>
      <w:r>
        <w:t xml:space="preserve">anchor without an on-ledger multi-sig execution bottleneck.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768877ac61802d848295b7cce07ef9b548a1273"/>
    <w:p>
      <w:pPr>
        <w:pStyle w:val="Heading2"/>
      </w:pPr>
      <w:r>
        <w:t xml:space="preserve">3. How We Implement It</w:t>
      </w:r>
    </w:p>
    <w:p>
      <w:pPr>
        <w:pStyle w:val="FirstParagraph"/>
      </w:pPr>
      <w:r>
        <w:t xml:space="preserve">The CDP model is expressed as a sequence of atomic Canton transactions under</w:t>
      </w:r>
      <w:r>
        <w:t xml:space="preserve"> </w:t>
      </w:r>
      <w:r>
        <w:t xml:space="preserve">Daml-LF 2.1 keyless semantics: every state change archives the prior contract</w:t>
      </w:r>
      <w:r>
        <w:t xml:space="preserve"> </w:t>
      </w:r>
      <w:r>
        <w:t xml:space="preserve">and recreates an updated instance with a new Contract ID.</w:t>
      </w:r>
    </w:p>
    <w:bookmarkStart w:id="21" w:name="the-settlement-spine-flow"/>
    <w:p>
      <w:pPr>
        <w:pStyle w:val="Heading3"/>
      </w:pPr>
      <w:r>
        <w:t xml:space="preserve">The Settlement-Spine Flow</w:t>
      </w:r>
    </w:p>
    <w:p>
      <w:pPr>
        <w:pStyle w:val="FirstParagraph"/>
      </w:pPr>
      <w:r>
        <w:t xml:space="preserve">All value transfers to/from the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route through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for atomic DvP. The direct</w:t>
      </w:r>
      <w:r>
        <w:t xml:space="preserve"> </w:t>
      </w:r>
      <w:r>
        <w:rPr>
          <w:rStyle w:val="VerbatimChar"/>
        </w:rPr>
        <w:t xml:space="preserve">Allocation_Settle</w:t>
      </w:r>
      <w:r>
        <w:t xml:space="preserve"> </w:t>
      </w:r>
      <w:r>
        <w:t xml:space="preserve">path is not used for DvP — it proves authorization of a single leg, not atomic</w:t>
      </w:r>
      <w:r>
        <w:t xml:space="preserve"> </w:t>
      </w:r>
      <w:r>
        <w:t xml:space="preserve">co-settlement of interdependent legs.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Vault origination + collateral deposit.</w:t>
      </w:r>
      <w:r>
        <w:t xml:space="preserve"> </w:t>
      </w:r>
      <w:r>
        <w:t xml:space="preserve">The borrower creates an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,</w:t>
      </w:r>
      <w:r>
        <w:t xml:space="preserve"> </w:t>
      </w:r>
      <w:r>
        <w:t xml:space="preserve">accepted to lock the collateral into an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) and presents a</w:t>
      </w:r>
      <w:r>
        <w:t xml:space="preserve"> </w:t>
      </w:r>
      <w:r>
        <w:rPr>
          <w:rStyle w:val="VerbatimChar"/>
        </w:rPr>
        <w:t xml:space="preserve">CredentialGatedActionRequest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. On successful compliance verification,</w:t>
      </w:r>
      <w:r>
        <w:t xml:space="preserve"> </w:t>
      </w:r>
      <w:r>
        <w:rPr>
          <w:rStyle w:val="VerbatimChar"/>
        </w:rPr>
        <w:t xml:space="preserve">VaultFactory_OpenVault</w:t>
      </w:r>
      <w:r>
        <w:t xml:space="preserve"> </w:t>
      </w:r>
      <w:r>
        <w:t xml:space="preserve">batch-settles the collateral into custody and instantiates the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with a</w:t>
      </w:r>
      <w:r>
        <w:t xml:space="preserve"> </w:t>
      </w:r>
      <w:r>
        <w:t xml:space="preserve">verified</w:t>
      </w:r>
      <w:r>
        <w:t xml:space="preserve"> </w:t>
      </w:r>
      <w:r>
        <w:rPr>
          <w:rStyle w:val="VerbatimChar"/>
        </w:rPr>
        <w:t xml:space="preserve">collateralAmount</w:t>
      </w:r>
      <w:r>
        <w:t xml:space="preserve">. (Subsequent top-ups use</w:t>
      </w:r>
      <w:r>
        <w:t xml:space="preserve"> </w:t>
      </w:r>
      <w:r>
        <w:rPr>
          <w:rStyle w:val="VerbatimChar"/>
        </w:rPr>
        <w:t xml:space="preserve">Vault_DepositCollateral</w:t>
      </w:r>
      <w:r>
        <w:t xml:space="preserve">;</w:t>
      </w:r>
      <w:r>
        <w:t xml:space="preserve"> </w:t>
      </w:r>
      <w:r>
        <w:t xml:space="preserve">reductions use</w:t>
      </w:r>
      <w:r>
        <w:t xml:space="preserve"> </w:t>
      </w:r>
      <w:r>
        <w:rPr>
          <w:rStyle w:val="VerbatimChar"/>
        </w:rPr>
        <w:t xml:space="preserve">Vault_WithdrawCollateral</w:t>
      </w:r>
      <w:r>
        <w:t xml:space="preserve">, both solvency-checked.)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Borrow (debt disbursement).</w:t>
      </w:r>
      <w:r>
        <w:t xml:space="preserve"> </w:t>
      </w:r>
      <w:r>
        <w:t xml:space="preserve">The borrower exercises</w:t>
      </w:r>
      <w:r>
        <w:t xml:space="preserve"> </w:t>
      </w:r>
      <w:r>
        <w:rPr>
          <w:rStyle w:val="VerbatimChar"/>
        </w:rPr>
        <w:t xml:space="preserve">Vault_MintStablecoin</w:t>
      </w:r>
      <w:r>
        <w:t xml:space="preserve">.</w:t>
      </w:r>
      <w:r>
        <w:t xml:space="preserve"> </w:t>
      </w:r>
      <w:r>
        <w:t xml:space="preserve">The vault runs a deterministic solvency check — requested debt plus existing</w:t>
      </w:r>
      <w:r>
        <w:t xml:space="preserve"> </w:t>
      </w:r>
      <w:r>
        <w:t xml:space="preserve">debt must keep</w:t>
      </w:r>
      <w:r>
        <w:t xml:space="preserve"> </w:t>
      </w:r>
      <w:r>
        <w:rPr>
          <w:rStyle w:val="VerbatimChar"/>
        </w:rPr>
        <w:t xml:space="preserve">collateralRatio</w:t>
      </w:r>
      <w:r>
        <w:t xml:space="preserve"> </w:t>
      </w:r>
      <w:r>
        <w:t xml:space="preserve">at or above</w:t>
      </w:r>
      <w:r>
        <w:t xml:space="preserve"> </w:t>
      </w:r>
      <w:r>
        <w:rPr>
          <w:rStyle w:val="VerbatimChar"/>
        </w:rPr>
        <w:t xml:space="preserve">VaultParams.minCollateralRatio</w:t>
      </w:r>
      <w:r>
        <w:t xml:space="preserve"> </w:t>
      </w:r>
      <w:r>
        <w:t xml:space="preserve">priced by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. On success the admin mints stablecoin holdings</w:t>
      </w:r>
      <w:r>
        <w:t xml:space="preserve"> </w:t>
      </w:r>
      <w:r>
        <w:t xml:space="preserve">delivered to the borrower via a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leg; the old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is archived</w:t>
      </w:r>
      <w:r>
        <w:t xml:space="preserve"> </w:t>
      </w:r>
      <w:r>
        <w:t xml:space="preserve">and recreated with the updated</w:t>
      </w:r>
      <w:r>
        <w:t xml:space="preserve"> </w:t>
      </w:r>
      <w:r>
        <w:rPr>
          <w:rStyle w:val="VerbatimChar"/>
        </w:rPr>
        <w:t xml:space="preserve">debtAmount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Repay.</w:t>
      </w:r>
      <w:r>
        <w:t xml:space="preserve"> </w:t>
      </w:r>
      <w:r>
        <w:t xml:space="preserve">The borrower allocates debt tokens and exercises</w:t>
      </w:r>
      <w:r>
        <w:t xml:space="preserve"> </w:t>
      </w:r>
      <w:r>
        <w:rPr>
          <w:rStyle w:val="VerbatimChar"/>
        </w:rPr>
        <w:t xml:space="preserve">Vault_BurnStablecoin</w:t>
      </w:r>
      <w:r>
        <w:t xml:space="preserve">; a batch settlement transfers the debt tokens to the</w:t>
      </w:r>
      <w:r>
        <w:t xml:space="preserve"> </w:t>
      </w:r>
      <w:r>
        <w:t xml:space="preserve">admin (burned via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) and reduces</w:t>
      </w:r>
      <w:r>
        <w:t xml:space="preserve"> </w:t>
      </w:r>
      <w:r>
        <w:rPr>
          <w:rStyle w:val="VerbatimChar"/>
        </w:rPr>
        <w:t xml:space="preserve">debtAmount</w:t>
      </w:r>
      <w:r>
        <w:t xml:space="preserve">. Collateral is</w:t>
      </w:r>
      <w:r>
        <w:t xml:space="preserve"> </w:t>
      </w:r>
      <w:r>
        <w:t xml:space="preserve">released proportionally via</w:t>
      </w:r>
      <w:r>
        <w:t xml:space="preserve"> </w:t>
      </w:r>
      <w:r>
        <w:rPr>
          <w:rStyle w:val="VerbatimChar"/>
        </w:rPr>
        <w:t xml:space="preserve">Vault_WithdrawCollateral</w:t>
      </w:r>
      <w:r>
        <w:t xml:space="preserve"> </w:t>
      </w:r>
      <w:r>
        <w:t xml:space="preserve">when the loan closes</w:t>
      </w:r>
      <w:r>
        <w:t xml:space="preserve"> </w:t>
      </w:r>
      <w:r>
        <w:t xml:space="preserve">(</w:t>
      </w:r>
      <w:r>
        <w:rPr>
          <w:rStyle w:val="VerbatimChar"/>
        </w:rPr>
        <w:t xml:space="preserve">Vault_Close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Liquidation.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shows the vault below</w:t>
      </w:r>
      <w:r>
        <w:t xml:space="preserve"> </w:t>
      </w:r>
      <w:r>
        <w:rPr>
          <w:rStyle w:val="VerbatimChar"/>
        </w:rPr>
        <w:t xml:space="preserve">liquidationRatio</w:t>
      </w:r>
      <w:r>
        <w:t xml:space="preserve">, an</w:t>
      </w:r>
      <w:r>
        <w:t xml:space="preserve"> </w:t>
      </w:r>
      <w:r>
        <w:t xml:space="preserve">authorized liquidator exercises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, providing an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of stablecoin covering the debt plus the</w:t>
      </w:r>
      <w:r>
        <w:t xml:space="preserve"> </w:t>
      </w:r>
      <w:r>
        <w:rPr>
          <w:rStyle w:val="VerbatimChar"/>
        </w:rPr>
        <w:t xml:space="preserve">liquidationBonus</w:t>
      </w:r>
      <w:r>
        <w:t xml:space="preserve">.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atomically burns the liquidator's debt tokens, clears the position, and sweeps</w:t>
      </w:r>
      <w:r>
        <w:t xml:space="preserve"> </w:t>
      </w:r>
      <w:r>
        <w:t xml:space="preserve">the collateral to the liquidator; any residual collateral is recreated in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for the borrower.</w:t>
      </w:r>
    </w:p>
    <w:bookmarkEnd w:id="21"/>
    <w:bookmarkStart w:id="22" w:name="d1d4-attachment-strategy"/>
    <w:p>
      <w:pPr>
        <w:pStyle w:val="Heading3"/>
      </w:pPr>
      <w:r>
        <w:t xml:space="preserve">D1–D4 Attachment Strategy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D1 — compliance (node-applied).</w:t>
      </w:r>
      <w:r>
        <w:t xml:space="preserve"> </w:t>
      </w:r>
      <w:r>
        <w:t xml:space="preserve">Checked on every leg. The RI selects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(signed node attestation) over Shape A (off-ledger gate): a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is submitted as a native contract</w:t>
      </w:r>
      <w:r>
        <w:t xml:space="preserve"> </w:t>
      </w:r>
      <w:r>
        <w:t xml:space="preserve">payload, so the engine enforces compliance deterministically at the</w:t>
      </w:r>
      <w:r>
        <w:t xml:space="preserve"> </w:t>
      </w:r>
      <w:r>
        <w:t xml:space="preserve">participant node with no external calls. A</w:t>
      </w:r>
      <w:r>
        <w:t xml:space="preserve"> </w:t>
      </w:r>
      <w:r>
        <w:rPr>
          <w:rStyle w:val="VerbatimChar"/>
        </w:rPr>
        <w:t xml:space="preserve">CredentialRevocationStatus</w:t>
      </w:r>
      <w:r>
        <w:t xml:space="preserve"> </w:t>
      </w:r>
      <w:r>
        <w:t xml:space="preserve">of</w:t>
      </w:r>
      <w:r>
        <w:t xml:space="preserve"> </w:t>
      </w:r>
      <w:r>
        <w:t xml:space="preserve">revoked triggers fail-closed rejection via the optional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.</w:t>
      </w:r>
      <w:r>
        <w:t xml:space="preserve"> </w:t>
      </w:r>
      <w:r>
        <w:rPr>
          <w:i/>
          <w:iCs/>
        </w:rPr>
        <w:t xml:space="preserve">(Open, non-blocking: whether the contract stays oblivious or verifies the</w:t>
      </w:r>
      <w:r>
        <w:rPr>
          <w:i/>
          <w:iCs/>
        </w:rPr>
        <w:t xml:space="preserve"> </w:t>
      </w:r>
      <w:r>
        <w:rPr>
          <w:i/>
          <w:iCs/>
        </w:rPr>
        <w:t xml:space="preserve">attestation on-ledger at exercise time.)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D2 — seizure (lock-and-sweep).</w:t>
      </w:r>
      <w:r>
        <w:t xml:space="preserve"> </w:t>
      </w:r>
      <w:r>
        <w:t xml:space="preserve">Under legal mandate the admin sweeps</w:t>
      </w:r>
      <w:r>
        <w:t xml:space="preserve"> </w:t>
      </w:r>
      <w:r>
        <w:t xml:space="preserve">collateral to an admin-</w:t>
      </w:r>
      <w:r>
        <w:rPr>
          <w:b/>
          <w:bCs/>
        </w:rPr>
        <w:t xml:space="preserve">preset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 </w:t>
      </w:r>
      <w:r>
        <w:t xml:space="preserve">(carried in the</w:t>
      </w:r>
      <w:r>
        <w:t xml:space="preserve"> </w:t>
      </w:r>
      <w:r>
        <w:t xml:space="preserve">spine's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config record), gated by the 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. In-flight allocations use the real spine choices</w:t>
      </w:r>
      <w:r>
        <w:t xml:space="preserve"> </w:t>
      </w:r>
      <w:r>
        <w:rPr>
          <w:rStyle w:val="VerbatimChar"/>
        </w:rPr>
        <w:t xml:space="preserve">Allocation_MarkD2InFlightSeizure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Allocation_SweepD2InFlightSeizure</w:t>
      </w:r>
      <w:r>
        <w:t xml:space="preserve">;</w:t>
      </w:r>
      <w:r>
        <w:t xml:space="preserve"> </w:t>
      </w:r>
      <w:r>
        <w:t xml:space="preserve">locked vault collateral uses the forced-burn-to-custodian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LockedSimpleHolding_ForcedBurn</w:t>
      </w:r>
      <w:r>
        <w:t xml:space="preserve"> </w:t>
      </w:r>
      <w:r>
        <w:t xml:space="preserve">evidence). Seized assets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burned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returned to sender; ordinary transfer</w:t>
      </w:r>
      <w:r>
        <w:t xml:space="preserve"> </w:t>
      </w:r>
      <w:r>
        <w:rPr>
          <w:i/>
          <w:iCs/>
        </w:rPr>
        <w:t xml:space="preserve">failures</w:t>
      </w:r>
      <w:r>
        <w:t xml:space="preserve"> </w:t>
      </w:r>
      <w:r>
        <w:t xml:space="preserve">do return to</w:t>
      </w:r>
      <w:r>
        <w:t xml:space="preserve"> </w:t>
      </w:r>
      <w:r>
        <w:t xml:space="preserve">sender.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D3 — identity.</w:t>
      </w:r>
      <w:r>
        <w:t xml:space="preserve"> </w:t>
      </w:r>
      <w:r>
        <w:t xml:space="preserve">Single-domain v1 with issuer-held KYC. Cross-domain</w:t>
      </w:r>
      <w:r>
        <w:t xml:space="preserve"> </w:t>
      </w:r>
      <w:r>
        <w:t xml:space="preserve">(ERC-3643 / ONCHAINID / Chainlink CCID) deferred but forward-compatible via</w:t>
      </w:r>
      <w:r>
        <w:t xml:space="preserve"> </w:t>
      </w:r>
      <w:r>
        <w:t xml:space="preserve">additive SCU.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D4 — authority.</w:t>
      </w:r>
      <w:r>
        <w:t xml:space="preserve"> </w:t>
      </w:r>
      <w:r>
        <w:t xml:space="preserve">Single-admin capability via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RoleAdmin</w:t>
      </w:r>
      <w:r>
        <w:t xml:space="preserve">) for pause, parameter updates, and seizure. On-ledger multi-sig is</w:t>
      </w:r>
      <w:r>
        <w:t xml:space="preserve"> </w:t>
      </w:r>
      <w:r>
        <w:t xml:space="preserve">an M3 extension.</w:t>
      </w:r>
    </w:p>
    <w:bookmarkEnd w:id="22"/>
    <w:bookmarkStart w:id="23" w:name="the-scu-extension-story"/>
    <w:p>
      <w:pPr>
        <w:pStyle w:val="Heading3"/>
      </w:pPr>
      <w:r>
        <w:t xml:space="preserve">The SCU Extension Story</w:t>
      </w:r>
    </w:p>
    <w:p>
      <w:pPr>
        <w:pStyle w:val="FirstParagraph"/>
      </w:pPr>
      <w:r>
        <w:t xml:space="preserve">The SCU rule: never mutate an existing choice's arguments to require a new field.</w:t>
      </w:r>
      <w:r>
        <w:t xml:space="preserve"> </w:t>
      </w:r>
      <w:r>
        <w:t xml:space="preserve">Extend via appended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fields, new serializable types, and new choices.</w:t>
      </w:r>
      <w:r>
        <w:t xml:space="preserve"> </w:t>
      </w:r>
      <w:r>
        <w:t xml:space="preserve">New interfaces are likewise added by new templates/choices implementing them, not</w:t>
      </w:r>
      <w:r>
        <w:t xml:space="preserve"> </w:t>
      </w:r>
      <w:r>
        <w:t xml:space="preserve">by retroactively re-instancing the deployed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— Daml 3.x removed</w:t>
      </w:r>
      <w:r>
        <w:t xml:space="preserve"> </w:t>
      </w:r>
      <w:r>
        <w:rPr>
          <w:b/>
          <w:bCs/>
        </w:rPr>
        <w:t xml:space="preserve">retroactive interface instances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precisely because they broke</w:t>
      </w:r>
      <w:r>
        <w:t xml:space="preserve"> </w:t>
      </w:r>
      <w:r>
        <w:t xml:space="preserve">clean upgrade paths.</w:t>
      </w:r>
    </w:p>
    <w:p>
      <w:pPr>
        <w:pStyle w:val="BodyText"/>
      </w:pPr>
      <w:r>
        <w:t xml:space="preserve">Example — adding a cross-chain identity hash for future regulation: the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template gains</w:t>
      </w:r>
      <w:r>
        <w:t xml:space="preserve"> </w:t>
      </w:r>
      <w:r>
        <w:rPr>
          <w:rStyle w:val="VerbatimChar"/>
        </w:rPr>
        <w:t xml:space="preserve">crossDomainIdentity : Optional Text</w:t>
      </w:r>
      <w:r>
        <w:t xml:space="preserve"> </w:t>
      </w:r>
      <w:r>
        <w:t xml:space="preserve">(read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by older</w:t>
      </w:r>
      <w:r>
        <w:t xml:space="preserve"> </w:t>
      </w:r>
      <w:r>
        <w:t xml:space="preserve">contracts), and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choice</w:t>
      </w:r>
      <w:r>
        <w:t xml:space="preserve"> </w:t>
      </w:r>
      <w:r>
        <w:rPr>
          <w:rStyle w:val="VerbatimChar"/>
        </w:rPr>
        <w:t xml:space="preserve">Vault_UpdateIdentity</w:t>
      </w:r>
      <w:r>
        <w:t xml:space="preserve"> </w:t>
      </w:r>
      <w:r>
        <w:t xml:space="preserve">records it. The existing</w:t>
      </w:r>
      <w:r>
        <w:t xml:space="preserve"> </w:t>
      </w:r>
      <w:r>
        <w:rPr>
          <w:rStyle w:val="VerbatimChar"/>
        </w:rPr>
        <w:t xml:space="preserve">Vault_MintStablecoin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Vault_BurnStablecoin</w:t>
      </w:r>
      <w:r>
        <w:t xml:space="preserve"> </w:t>
      </w:r>
      <w:r>
        <w:t xml:space="preserve">choices keep their type</w:t>
      </w:r>
      <w:r>
        <w:t xml:space="preserve"> </w:t>
      </w:r>
      <w:r>
        <w:t xml:space="preserve">signatures untouched, so older clients keep working — compliance is layered over</w:t>
      </w:r>
      <w:r>
        <w:t xml:space="preserve"> </w:t>
      </w:r>
      <w:r>
        <w:t xml:space="preserve">time without a network-wide breaking upgrade. This is the same additive path</w:t>
      </w:r>
      <w:r>
        <w:t xml:space="preserve"> </w:t>
      </w:r>
      <w:r>
        <w:t xml:space="preserve">proven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upgrade spike.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a975f165a8f4846d4f55a69ab47eeb91102f08e"/>
    <w:p>
      <w:pPr>
        <w:pStyle w:val="Heading2"/>
      </w:pPr>
      <w:r>
        <w:t xml:space="preserve">4. Interfaces &amp; Usage Examples</w:t>
      </w:r>
    </w:p>
    <w:p>
      <w:pPr>
        <w:pStyle w:val="FirstParagraph"/>
      </w:pPr>
      <w:r>
        <w:t xml:space="preserve">Interfaces are prioritized by Readability, Simplicity, Security, Auditability.</w:t>
      </w:r>
      <w:r>
        <w:t xml:space="preserve"> </w:t>
      </w:r>
      <w:r>
        <w:t xml:space="preserve">RI-level templates that adapt or extend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 </w:t>
      </w:r>
      <w:r>
        <w:t xml:space="preserve">are tagged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; field/choice names match real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 </w:t>
      </w:r>
      <w:r>
        <w:t xml:space="preserve">source.</w:t>
      </w:r>
    </w:p>
    <w:bookmarkStart w:id="25" w:name="Xf169b9aeeb0c89771f9aa69bf59841d00f3eb1b"/>
    <w:p>
      <w:pPr>
        <w:pStyle w:val="Heading3"/>
      </w:pPr>
      <w:r>
        <w:t xml:space="preserve">4.1 Role wrappers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Lending.Types where</w:t>
      </w:r>
      <w:r>
        <w:br/>
      </w:r>
      <w:r>
        <w:br/>
      </w:r>
      <w:r>
        <w:rPr>
          <w:rStyle w:val="NormalTok"/>
        </w:rPr>
        <w:t xml:space="preserve">import OpenZeppelin.AccessControl (RoleGrant)</w:t>
      </w:r>
      <w:r>
        <w:br/>
      </w:r>
      <w:r>
        <w:br/>
      </w:r>
      <w:r>
        <w:rPr>
          <w:rStyle w:val="NormalTok"/>
        </w:rPr>
        <w:t xml:space="preserve">-- Closed-sum wrapper: precise role ids, no raw-string matching.</w:t>
      </w:r>
      <w:r>
        <w:br/>
      </w:r>
      <w:r>
        <w:rPr>
          <w:rStyle w:val="NormalTok"/>
        </w:rPr>
        <w:t xml:space="preserve">data VaultRole = VaultAdmin | Liquidator | OracleProvider | Pauser</w:t>
      </w:r>
      <w:r>
        <w:br/>
      </w:r>
      <w:r>
        <w:rPr>
          <w:rStyle w:val="NormalTok"/>
        </w:rPr>
        <w:t xml:space="preserve">  deriving (Eq, Show)</w:t>
      </w:r>
      <w:r>
        <w:br/>
      </w:r>
      <w:r>
        <w:br/>
      </w:r>
      <w:r>
        <w:rPr>
          <w:rStyle w:val="NormalTok"/>
        </w:rPr>
        <w:t xml:space="preserve">roleId : VaultRole -&gt; Text</w:t>
      </w:r>
      <w:r>
        <w:br/>
      </w:r>
      <w:r>
        <w:rPr>
          <w:rStyle w:val="NormalTok"/>
        </w:rPr>
        <w:t xml:space="preserve">roleId VaultAdmin     = "VAULT_ADMIN"</w:t>
      </w:r>
      <w:r>
        <w:br/>
      </w:r>
      <w:r>
        <w:rPr>
          <w:rStyle w:val="NormalTok"/>
        </w:rPr>
        <w:t xml:space="preserve">roleId Liquidator     = "LIQUIDATOR"</w:t>
      </w:r>
      <w:r>
        <w:br/>
      </w:r>
      <w:r>
        <w:rPr>
          <w:rStyle w:val="NormalTok"/>
        </w:rPr>
        <w:t xml:space="preserve">roleId OracleProvider = "ORACLE_PROVIDER"</w:t>
      </w:r>
      <w:r>
        <w:br/>
      </w:r>
      <w:r>
        <w:rPr>
          <w:rStyle w:val="NormalTok"/>
        </w:rPr>
        <w:t xml:space="preserve">roleId Pauser         = "PAUSER"</w:t>
      </w:r>
    </w:p>
    <w:bookmarkEnd w:id="25"/>
    <w:bookmarkStart w:id="26" w:name="Xb5fdcec37a4210a30c6fa76cb6cf185660bc0df"/>
    <w:p>
      <w:pPr>
        <w:pStyle w:val="Heading3"/>
      </w:pPr>
      <w:r>
        <w:t xml:space="preserve">4.2 Configuration and pricing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(canton-stablecoin shapes)</w:t>
      </w:r>
    </w:p>
    <w:p>
      <w:pPr>
        <w:pStyle w:val="SourceCode"/>
      </w:pPr>
      <w:r>
        <w:rPr>
          <w:rStyle w:val="NormalTok"/>
        </w:rPr>
        <w:t xml:space="preserve">-- Real canton-stablecoin shapes (field names exact); shown for grounding.</w:t>
      </w:r>
      <w:r>
        <w:br/>
      </w:r>
      <w:r>
        <w:rPr>
          <w:rStyle w:val="NormalTok"/>
        </w:rPr>
        <w:t xml:space="preserve">template VaultParams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admin : Party</w:t>
      </w:r>
      <w:r>
        <w:br/>
      </w:r>
      <w:r>
        <w:rPr>
          <w:rStyle w:val="NormalTok"/>
        </w:rPr>
        <w:t xml:space="preserve">    collateralInstrumentId : Text</w:t>
      </w:r>
      <w:r>
        <w:br/>
      </w:r>
      <w:r>
        <w:rPr>
          <w:rStyle w:val="NormalTok"/>
        </w:rPr>
        <w:t xml:space="preserve">    stablecoinInstrumentId : Text</w:t>
      </w:r>
      <w:r>
        <w:br/>
      </w:r>
      <w:r>
        <w:rPr>
          <w:rStyle w:val="NormalTok"/>
        </w:rPr>
        <w:t xml:space="preserve">    minCollateralRatio : Decimal   -- e.g. 1.50 (150%)</w:t>
      </w:r>
      <w:r>
        <w:br/>
      </w:r>
      <w:r>
        <w:rPr>
          <w:rStyle w:val="NormalTok"/>
        </w:rPr>
        <w:t xml:space="preserve">    liquidationRatio : Decimal     -- triggers Vault_Liquidate below this</w:t>
      </w:r>
      <w:r>
        <w:br/>
      </w:r>
      <w:r>
        <w:rPr>
          <w:rStyle w:val="NormalTok"/>
        </w:rPr>
        <w:t xml:space="preserve">    liquidationBonus : Decimal     -- fixed-discount penalty, e.g. 0.10</w:t>
      </w:r>
      <w:r>
        <w:br/>
      </w:r>
      <w:r>
        <w:rPr>
          <w:rStyle w:val="NormalTok"/>
        </w:rPr>
        <w:t xml:space="preserve">    stabilityFeeRate : Decimal     -- FIXED, term-locked (no variable accrual)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admin</w:t>
      </w:r>
      <w:r>
        <w:br/>
      </w:r>
      <w:r>
        <w:rPr>
          <w:rStyle w:val="NormalTok"/>
        </w:rPr>
        <w:t xml:space="preserve">    observer admin                 -- extendable to public observers</w:t>
      </w:r>
      <w:r>
        <w:br/>
      </w:r>
      <w:r>
        <w:br/>
      </w:r>
      <w:r>
        <w:rPr>
          <w:rStyle w:val="NormalTok"/>
        </w:rPr>
        <w:t xml:space="preserve">template PriceOracle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admin : Party</w:t>
      </w:r>
      <w:r>
        <w:br/>
      </w:r>
      <w:r>
        <w:rPr>
          <w:rStyle w:val="NormalTok"/>
        </w:rPr>
        <w:t xml:space="preserve">    collateralInstrumentId : Text</w:t>
      </w:r>
      <w:r>
        <w:br/>
      </w:r>
      <w:r>
        <w:rPr>
          <w:rStyle w:val="NormalTok"/>
        </w:rPr>
        <w:t xml:space="preserve">    price : Decimal                -- collateral valued in stablecoin units</w:t>
      </w:r>
      <w:r>
        <w:br/>
      </w:r>
      <w:r>
        <w:rPr>
          <w:rStyle w:val="NormalTok"/>
        </w:rPr>
        <w:t xml:space="preserve">    updatedAt : Time</w:t>
      </w:r>
      <w:r>
        <w:br/>
      </w:r>
      <w:r>
        <w:rPr>
          <w:rStyle w:val="NormalTok"/>
        </w:rPr>
        <w:t xml:space="preserve">    observers : [Party]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admin</w:t>
      </w:r>
      <w:r>
        <w:br/>
      </w:r>
      <w:r>
        <w:rPr>
          <w:rStyle w:val="NormalTok"/>
        </w:rPr>
        <w:t xml:space="preserve">    observer observers</w:t>
      </w:r>
      <w:r>
        <w:br/>
      </w:r>
      <w:r>
        <w:rPr>
          <w:rStyle w:val="NormalTok"/>
        </w:rPr>
        <w:t xml:space="preserve">    -- choice PriceOracle_UpdatePrice (controller admin / oracle-provider role)</w:t>
      </w:r>
    </w:p>
    <w:bookmarkEnd w:id="26"/>
    <w:bookmarkStart w:id="27" w:name="X9c2c77def1df84fbfc91676bcc8c4193110112a"/>
    <w:p>
      <w:pPr>
        <w:pStyle w:val="Heading3"/>
      </w:pPr>
      <w:r>
        <w:t xml:space="preserve">4.3 Vault opening with identity gating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(RI adapter over</w:t>
      </w:r>
      <w:r>
        <w:t xml:space="preserve"> </w:t>
      </w:r>
      <w:r>
        <w:rPr>
          <w:rStyle w:val="VerbatimChar"/>
        </w:rPr>
        <w:t xml:space="preserve">VaultFactory_OpenVault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module Lending.Vault where</w:t>
      </w:r>
      <w:r>
        <w:br/>
      </w:r>
      <w:r>
        <w:br/>
      </w:r>
      <w:r>
        <w:rPr>
          <w:rStyle w:val="NormalTok"/>
        </w:rPr>
        <w:t xml:space="preserve">import OpenZeppelin.Experimental.Settlement.Cip112 (SettlementFactory)</w:t>
      </w:r>
      <w:r>
        <w:br/>
      </w:r>
      <w:r>
        <w:rPr>
          <w:rStyle w:val="NormalTok"/>
        </w:rPr>
        <w:t xml:space="preserve">import ZkCredentialGateway.GatedAction (CredentialGatedActionRequest)</w:t>
      </w:r>
      <w:r>
        <w:br/>
      </w:r>
      <w:r>
        <w:rPr>
          <w:rStyle w:val="NormalTok"/>
        </w:rPr>
        <w:t xml:space="preserve">import ZkCredentialGateway.Verification (MockVerificationResult)</w:t>
      </w:r>
      <w:r>
        <w:br/>
      </w:r>
      <w:r>
        <w:rPr>
          <w:rStyle w:val="NormalTok"/>
        </w:rPr>
        <w:t xml:space="preserve">-- KycClaim / TrustedIssuerRegistry: canton-specs identity-hook Shape-B</w:t>
      </w:r>
      <w:r>
        <w:br/>
      </w:r>
      <w:r>
        <w:rPr>
          <w:rStyle w:val="NormalTok"/>
        </w:rPr>
        <w:t xml:space="preserve">import IdentityHook.ShapeB (KycClaim, TrustedIssuerRegistry)</w:t>
      </w:r>
      <w:r>
        <w:br/>
      </w:r>
      <w:r>
        <w:br/>
      </w:r>
      <w:r>
        <w:rPr>
          <w:rStyle w:val="NormalTok"/>
        </w:rPr>
        <w:t xml:space="preserve">template LendingVaultFactory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admin : Party</w:t>
      </w:r>
      <w:r>
        <w:br/>
      </w:r>
      <w:r>
        <w:rPr>
          <w:rStyle w:val="NormalTok"/>
        </w:rPr>
        <w:t xml:space="preserve">    registryCid : ContractId TrustedIssuerRegistry</w:t>
      </w:r>
      <w:r>
        <w:br/>
      </w:r>
      <w:r>
        <w:rPr>
          <w:rStyle w:val="NormalTok"/>
        </w:rPr>
        <w:t xml:space="preserve">    paramsCid : ContractId VaultParams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admin</w:t>
      </w:r>
      <w:r>
        <w:br/>
      </w:r>
      <w:r>
        <w:br/>
      </w:r>
      <w:r>
        <w:rPr>
          <w:rStyle w:val="NormalTok"/>
        </w:rPr>
        <w:t xml:space="preserve">    -- New RI choice wrapping the canton-stablecoin VaultFactory_OpenVault path.</w:t>
      </w:r>
      <w:r>
        <w:br/>
      </w:r>
      <w:r>
        <w:rPr>
          <w:rStyle w:val="NormalTok"/>
        </w:rPr>
        <w:t xml:space="preserve">    nonconsuming choice LendingVaultFactory_OpenGatedVault : ContractId Vault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borrower : Party</w:t>
      </w:r>
      <w:r>
        <w:br/>
      </w:r>
      <w:r>
        <w:rPr>
          <w:rStyle w:val="NormalTok"/>
        </w:rPr>
        <w:t xml:space="preserve">        complianceRequest : CredentialGatedActionRequest</w:t>
      </w:r>
      <w:r>
        <w:br/>
      </w:r>
      <w:r>
        <w:rPr>
          <w:rStyle w:val="NormalTok"/>
        </w:rPr>
        <w:t xml:space="preserve">        verificationResult : MockVerificationResult</w:t>
      </w:r>
      <w:r>
        <w:br/>
      </w:r>
      <w:r>
        <w:rPr>
          <w:rStyle w:val="NormalTok"/>
        </w:rPr>
        <w:t xml:space="preserve">        kycClaim : KycClaim</w:t>
      </w:r>
      <w:r>
        <w:br/>
      </w:r>
      <w:r>
        <w:rPr>
          <w:rStyle w:val="NormalTok"/>
        </w:rPr>
        <w:t xml:space="preserve">      controller borrower            -- two-step handshake: borrower co-authorizes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-- D1 Shape B: deterministic, node-applied validation (no external calls).</w:t>
      </w:r>
      <w:r>
        <w:br/>
      </w:r>
      <w:r>
        <w:rPr>
          <w:rStyle w:val="NormalTok"/>
        </w:rPr>
        <w:t xml:space="preserve">        assertMsg "KYC issuer not trusted" (kycClaim.declaredIssuer == admin)</w:t>
      </w:r>
      <w:r>
        <w:br/>
      </w:r>
      <w:r>
        <w:rPr>
          <w:rStyle w:val="NormalTok"/>
        </w:rPr>
        <w:t xml:space="preserve">        assertMsg "verification not accepted" (isAccepted verificationResult)</w:t>
      </w:r>
      <w:r>
        <w:br/>
      </w:r>
      <w:r>
        <w:rPr>
          <w:rStyle w:val="NormalTok"/>
        </w:rPr>
        <w:t xml:space="preserve">        -- Delegate to the real factory choice to open the Vault.</w:t>
      </w:r>
      <w:r>
        <w:br/>
      </w:r>
      <w:r>
        <w:rPr>
          <w:rStyle w:val="NormalTok"/>
        </w:rPr>
        <w:t xml:space="preserve">        -- exercise vaultFactoryCid VaultFactory_OpenVault with ..</w:t>
      </w:r>
      <w:r>
        <w:br/>
      </w:r>
      <w:r>
        <w:rPr>
          <w:rStyle w:val="NormalTok"/>
        </w:rPr>
        <w:t xml:space="preserve">        create Vault with .. -- (canton-stablecoin Vault; see 4.4)</w:t>
      </w:r>
    </w:p>
    <w:bookmarkEnd w:id="27"/>
    <w:bookmarkStart w:id="28" w:name="X8d684a63ce47c68118096f7da2878eb977f50a4"/>
    <w:p>
      <w:pPr>
        <w:pStyle w:val="Heading3"/>
      </w:pPr>
      <w:r>
        <w:t xml:space="preserve">4.4 Liquidation + D2 seizure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(adapting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-- canton-stablecoin Vault fields (exact): admin, owner, collateralInstrumentId,</w:t>
      </w:r>
      <w:r>
        <w:br/>
      </w:r>
      <w:r>
        <w:rPr>
          <w:rStyle w:val="NormalTok"/>
        </w:rPr>
        <w:t xml:space="preserve">-- stablecoinInstrumentId, collateralAmount, debtAmount, params, lastAccrualTime.</w:t>
      </w:r>
      <w:r>
        <w:br/>
      </w:r>
      <w:r>
        <w:rPr>
          <w:rStyle w:val="NormalTok"/>
        </w:rPr>
        <w:t xml:space="preserve">-- Vault_Liquidate is a real choice; the RI routes its DvP through SettleBatch.</w:t>
      </w:r>
      <w:r>
        <w:br/>
      </w:r>
      <w:r>
        <w:br/>
      </w:r>
      <w:r>
        <w:rPr>
          <w:rStyle w:val="NormalTok"/>
        </w:rPr>
        <w:t xml:space="preserve">    choice Vault_Liquidate_ViaSpine : (ContractId Vault, ContractId SettlementReceipt)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liquidator : Party</w:t>
      </w:r>
      <w:r>
        <w:br/>
      </w:r>
      <w:r>
        <w:rPr>
          <w:rStyle w:val="NormalTok"/>
        </w:rPr>
        <w:t xml:space="preserve">        oracleCid : ContractId PriceOracle</w:t>
      </w:r>
      <w:r>
        <w:br/>
      </w:r>
      <w:r>
        <w:rPr>
          <w:rStyle w:val="NormalTok"/>
        </w:rPr>
        <w:t xml:space="preserve">        settlementFactoryCid : ContractId SettlementFactory</w:t>
      </w:r>
      <w:r>
        <w:br/>
      </w:r>
      <w:r>
        <w:rPr>
          <w:rStyle w:val="NormalTok"/>
        </w:rPr>
        <w:t xml:space="preserve">        debtAllocationId : ContractId Allocation     -- liquidator's committed stablecoin</w:t>
      </w:r>
      <w:r>
        <w:br/>
      </w:r>
      <w:r>
        <w:rPr>
          <w:rStyle w:val="NormalTok"/>
        </w:rPr>
        <w:t xml:space="preserve">      controller liquidator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params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paramsCid</w:t>
      </w:r>
      <w:r>
        <w:br/>
      </w:r>
      <w:r>
        <w:rPr>
          <w:rStyle w:val="NormalTok"/>
        </w:rPr>
        <w:t xml:space="preserve">        oracle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oracleCid</w:t>
      </w:r>
      <w:r>
        <w:br/>
      </w:r>
      <w:r>
        <w:rPr>
          <w:rStyle w:val="NormalTok"/>
        </w:rPr>
        <w:t xml:space="preserve">        -- Solvency: must be below liquidationRatio to liquidate.</w:t>
      </w:r>
      <w:r>
        <w:br/>
      </w:r>
      <w:r>
        <w:rPr>
          <w:rStyle w:val="NormalTok"/>
        </w:rPr>
        <w:t xml:space="preserve">        let ratio = (collateralAmount * oracle.price) / debtAmount</w:t>
      </w:r>
      <w:r>
        <w:br/>
      </w:r>
      <w:r>
        <w:rPr>
          <w:rStyle w:val="NormalTok"/>
        </w:rPr>
        <w:t xml:space="preserve">        assertMsg "vault is solvent" (ratio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 params.liquidationRatio)</w:t>
      </w:r>
      <w:r>
        <w:br/>
      </w:r>
      <w:r>
        <w:br/>
      </w:r>
      <w:r>
        <w:rPr>
          <w:rStyle w:val="NormalTok"/>
        </w:rPr>
        <w:t xml:space="preserve">        -- Atomic DvP: liquidator pays debt + liquidationBonus, receives collateral.</w:t>
      </w:r>
      <w:r>
        <w:br/>
      </w:r>
      <w:r>
        <w:rPr>
          <w:rStyle w:val="NormalTok"/>
        </w:rPr>
        <w:t xml:space="preserve">        -- Atomicity is solely via SettlementFactory_SettleBatch.</w:t>
      </w:r>
      <w:r>
        <w:br/>
      </w:r>
      <w:r>
        <w:rPr>
          <w:rStyle w:val="NormalTok"/>
        </w:rPr>
        <w:t xml:space="preserve">        receipt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exercise settlementFactoryCid SettlementFactory_SettleBatch with</w:t>
      </w:r>
      <w:r>
        <w:br/>
      </w:r>
      <w:r>
        <w:rPr>
          <w:rStyle w:val="NormalTok"/>
        </w:rPr>
        <w:t xml:space="preserve">          allocations = [debtAllocationId]</w:t>
      </w:r>
      <w:r>
        <w:br/>
      </w:r>
      <w:r>
        <w:rPr>
          <w:rStyle w:val="NormalTok"/>
        </w:rPr>
        <w:t xml:space="preserve">          requests = []                 -- collateral delivery leg(s) configured here</w:t>
      </w:r>
      <w:r>
        <w:br/>
      </w:r>
      <w:r>
        <w:rPr>
          <w:rStyle w:val="NormalTok"/>
        </w:rPr>
        <w:t xml:space="preserve">        -- residual collateral recreated in a new Vault for the borrower.</w:t>
      </w:r>
      <w:r>
        <w:br/>
      </w:r>
      <w:r>
        <w:rPr>
          <w:rStyle w:val="NormalTok"/>
        </w:rPr>
        <w:t xml:space="preserve">        newVault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create this with debtAmount = 0.0</w:t>
      </w:r>
      <w:r>
        <w:br/>
      </w:r>
      <w:r>
        <w:rPr>
          <w:rStyle w:val="NormalTok"/>
        </w:rPr>
        <w:t xml:space="preserve">        return (newVault, receipt)</w:t>
      </w:r>
      <w:r>
        <w:br/>
      </w:r>
      <w:r>
        <w:br/>
      </w:r>
      <w:r>
        <w:rPr>
          <w:rStyle w:val="NormalTok"/>
        </w:rPr>
        <w:t xml:space="preserve">    -- D2 lock-and-sweep: NO bespoke "D2SeizureHook_Sweep" template — D2SeizureHook</w:t>
      </w:r>
      <w:r>
        <w:br/>
      </w:r>
      <w:r>
        <w:rPr>
          <w:rStyle w:val="NormalTok"/>
        </w:rPr>
        <w:t xml:space="preserve">    -- is a spine config record (seizureCaseRef, custodianDestination,</w:t>
      </w:r>
      <w:r>
        <w:br/>
      </w:r>
      <w:r>
        <w:rPr>
          <w:rStyle w:val="NormalTok"/>
        </w:rPr>
        <w:t xml:space="preserve">    -- inFlightHandlingStatus). Seizure is gated by BurnerCapability and routes to</w:t>
      </w:r>
      <w:r>
        <w:br/>
      </w:r>
      <w:r>
        <w:rPr>
          <w:rStyle w:val="NormalTok"/>
        </w:rPr>
        <w:t xml:space="preserve">    -- the preset custodianDestination; never burn, never return-to-sender.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Xa4c687f521a51c6c80daec4cfa2a7eba0e2ab75"/>
    <w:p>
      <w:pPr>
        <w:pStyle w:val="Heading2"/>
      </w:pPr>
      <w:r>
        <w:t xml:space="preserve">5. Diagrams</w:t>
      </w:r>
    </w:p>
    <w:p>
      <w:pPr>
        <w:pStyle w:val="FirstParagraph"/>
      </w:pPr>
      <w:r>
        <w:t xml:space="preserve">Mermaid below maps to scenarios validatable in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(presets: Batch DvP, Multi-leg Settlement). Render externally for Docs.</w:t>
      </w:r>
    </w:p>
    <w:bookmarkStart w:id="33" w:name="X9788ddf4cbad541b08177611fa6307d56616c5b"/>
    <w:p>
      <w:pPr>
        <w:pStyle w:val="Heading3"/>
      </w:pPr>
      <w:r>
        <w:t xml:space="preserve">5.1 Interface and Component Diagram</w:t>
      </w:r>
    </w:p>
    <w:p>
      <w:pPr>
        <w:pStyle w:val="FirstParagraph"/>
      </w:pPr>
      <w:r>
        <w:rPr>
          <w:i/>
          <w:iCs/>
        </w:rPr>
        <w:t xml:space="preserve">Diagram 1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02-lending.md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2081068"/>
            <wp:effectExtent b="0" l="0" r="0" t="0"/>
            <wp:docPr descr="Diagram 1" title="" id="31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2-lending.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bookmarkEnd w:id="33"/>
    <w:bookmarkStart w:id="37" w:name="Xfece3a1b1540cc7906e2c78e7f5e46f4472b3d2"/>
    <w:p>
      <w:pPr>
        <w:pStyle w:val="Heading3"/>
      </w:pPr>
      <w:r>
        <w:t xml:space="preserve">5.2 Flow-of-Funds and Settlement Diagram (Liquidation)</w:t>
      </w:r>
    </w:p>
    <w:p>
      <w:pPr>
        <w:pStyle w:val="FirstParagraph"/>
      </w:pPr>
      <w:r>
        <w:rPr>
          <w:i/>
          <w:iCs/>
        </w:rPr>
        <w:t xml:space="preserve">Diagram 2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02-lending.md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2761785"/>
            <wp:effectExtent b="0" l="0" r="0" t="0"/>
            <wp:docPr descr="Diagram 2" title="" id="35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2-lending.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c230615a2d59ee180796a91b949b7f94390f0f0"/>
    <w:p>
      <w:pPr>
        <w:pStyle w:val="Heading2"/>
      </w:pPr>
      <w:r>
        <w:t xml:space="preserve">6. Library Dependencies</w:t>
      </w:r>
    </w:p>
    <w:bookmarkStart w:id="39" w:name="X0b4dd9959c1594bb6a988316f8886de7c539012"/>
    <w:p>
      <w:pPr>
        <w:pStyle w:val="Heading3"/>
      </w:pPr>
      <w:r>
        <w:t xml:space="preserve">6.1 Internal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Consumed Templates / Primitives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*_ForcedBurn</w:t>
            </w:r>
          </w:p>
        </w:tc>
        <w:tc>
          <w:tcPr/>
          <w:p>
            <w:pPr>
              <w:pStyle w:val="Compact"/>
            </w:pPr>
            <w:r>
              <w:t xml:space="preserve">Asset representation + forced-burn/seizure evidence (D2 collateral sweep).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PriceOracle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Vault_Liquidate</w:t>
            </w:r>
          </w:p>
        </w:tc>
        <w:tc>
          <w:tcPr/>
          <w:p>
            <w:pPr>
              <w:pStyle w:val="Compact"/>
            </w:pPr>
            <w:r>
              <w:t xml:space="preserve">Core CDP mechanics — the lending operational logic.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DefaultAdminTransferOffer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</w:pPr>
            <w:r>
              <w:t xml:space="preserve">Capability-based authority and the party/role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OwnershipOffer</w:t>
            </w:r>
          </w:p>
        </w:tc>
        <w:tc>
          <w:tcPr/>
          <w:p>
            <w:pPr>
              <w:pStyle w:val="Compact"/>
            </w:pPr>
            <w:r>
              <w:t xml:space="preserve">Administrative handoff between legal entities.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</w:p>
        </w:tc>
        <w:tc>
          <w:tcPr/>
          <w:p>
            <w:pPr>
              <w:pStyle w:val="Compact"/>
            </w:pPr>
            <w:r>
              <w:t xml:space="preserve">Emergency protocol freeze.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MockVerifierAuthorization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CredentialRevocationStatus</w:t>
            </w:r>
          </w:p>
        </w:tc>
        <w:tc>
          <w:tcPr/>
          <w:p>
            <w:pPr>
              <w:pStyle w:val="Compact"/>
            </w:pPr>
            <w:r>
              <w:t xml:space="preserve">D1 compliance / KYC gating without on-chain data leakage.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D1ComplianceHook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D2SeizureHook</w:t>
            </w:r>
          </w:p>
        </w:tc>
        <w:tc>
          <w:tcPr/>
          <w:p>
            <w:pPr>
              <w:pStyle w:val="Compact"/>
            </w:pPr>
            <w:r>
              <w:t xml:space="preserve">Atomic DvP spine; D1/D2 seams.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Shape-B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t xml:space="preserve">Typed D3 identity, layered via SCU.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bookmarkEnd w:id="39"/>
    <w:bookmarkStart w:id="40" w:name="X3e653924352924a1b5e39ea015193e5aacefeb3"/>
    <w:p>
      <w:pPr>
        <w:pStyle w:val="Heading3"/>
      </w:pPr>
      <w:r>
        <w:t xml:space="preserve">6.2 External Dependencies</w:t>
      </w:r>
    </w:p>
    <w:p>
      <w:pPr>
        <w:pStyle w:val="FirstParagraph"/>
      </w:pPr>
      <w:r>
        <w:t xml:space="preserve">The settlement mechanics rely on the</w:t>
      </w:r>
      <w:r>
        <w:t xml:space="preserve"> </w:t>
      </w:r>
      <w:r>
        <w:rPr>
          <w:b/>
          <w:bCs/>
        </w:rPr>
        <w:t xml:space="preserve">Splice Token Standard V2</w:t>
      </w:r>
      <w:r>
        <w:t xml:space="preserve"> </w:t>
      </w:r>
      <w:r>
        <w:t xml:space="preserve">interfaces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, superseding CIP-0056.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Present implementation:</w:t>
      </w:r>
      <w:r>
        <w:t xml:space="preserve"> </w:t>
      </w:r>
      <w:r>
        <w:t xml:space="preserve">local mocks/stand-ins designed to</w:t>
      </w:r>
      <w:r>
        <w:t xml:space="preserve"> </w:t>
      </w:r>
      <w:r>
        <w:rPr>
          <w:b/>
          <w:bCs/>
        </w:rPr>
        <w:t xml:space="preserve">maximally match</w:t>
      </w:r>
      <w:r>
        <w:rPr>
          <w:b/>
          <w:bCs/>
        </w:rPr>
        <w:t xml:space="preserve"> </w:t>
      </w:r>
      <w:r>
        <w:rPr>
          <w:b/>
          <w:bCs/>
        </w:rPr>
        <w:t xml:space="preserve">the Splice V2 standard interfaces</w:t>
      </w:r>
      <w:r>
        <w:t xml:space="preserve">. Source-of-record pin: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1e34121b…</w:t>
      </w:r>
      <w:r>
        <w:t xml:space="preserve"> </w:t>
      </w:r>
      <w:r>
        <w:t xml:space="preserve">(the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canton-network/splice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token-standard-v2-daml-preview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b91de5d4…</w:t>
      </w:r>
      <w:r>
        <w:t xml:space="preserve"> </w:t>
      </w:r>
      <w:r>
        <w:t xml:space="preserve">"preview" branch is demoted to historical evidence; its V2 DAR set</w:t>
      </w:r>
      <w:r>
        <w:t xml:space="preserve"> </w:t>
      </w:r>
      <w:r>
        <w:t xml:space="preserve">and checksums are catalogued in</w:t>
      </w:r>
      <w:r>
        <w:t xml:space="preserve"> </w:t>
      </w:r>
      <w:r>
        <w:rPr>
          <w:rStyle w:val="VerbatimChar"/>
        </w:rPr>
        <w:t xml:space="preserve">canton-token-template/docs/CIP-0112-EXTENSION-PLAN.md</w:t>
      </w:r>
      <w:r>
        <w:t xml:space="preserve">). Design against</w:t>
      </w:r>
      <w:r>
        <w:t xml:space="preserve"> </w:t>
      </w:r>
      <w:r>
        <w:rPr>
          <w:i/>
          <w:iCs/>
        </w:rPr>
        <w:t xml:space="preserve">interfaces</w:t>
      </w:r>
      <w:r>
        <w:t xml:space="preserve">, not DAR/package-ID pins (RI_RESEARCH_BRIEFING.md).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Planned migration:</w:t>
      </w:r>
      <w:r>
        <w:t xml:space="preserve"> </w:t>
      </w:r>
      <w:r>
        <w:t xml:space="preserve">once published Splice Token Standard V2 DARs ship and</w:t>
      </w:r>
      <w:r>
        <w:t xml:space="preserve"> </w:t>
      </w:r>
      <w:r>
        <w:t xml:space="preserve">the import gate clears (PLAN.md;</w:t>
      </w:r>
      <w:r>
        <w:t xml:space="preserve"> </w:t>
      </w:r>
      <w:r>
        <w:rPr>
          <w:rStyle w:val="VerbatimChar"/>
        </w:rPr>
        <w:t xml:space="preserve">M3_LENDING_SCOPE.md</w:t>
      </w:r>
      <w:r>
        <w:t xml:space="preserve"> </w:t>
      </w:r>
      <w:r>
        <w:t xml:space="preserve">§A), local stand-ins are</w:t>
      </w:r>
      <w:r>
        <w:t xml:space="preserve"> </w:t>
      </w:r>
      <w:r>
        <w:t xml:space="preserve">swapped for the published DARs — intended as a thin substitution.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import remains gated; no public-API stability, conformance, or</w:t>
      </w:r>
      <w:r>
        <w:t xml:space="preserve"> </w:t>
      </w:r>
      <w:r>
        <w:t xml:space="preserve">release-readiness claim.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afd635958b9f219ac7c7aab416c2f44ad3d0a0a"/>
    <w:p>
      <w:pPr>
        <w:pStyle w:val="Heading2"/>
      </w:pPr>
      <w:r>
        <w:t xml:space="preserve">7. Security &amp; Auditability</w:t>
      </w:r>
    </w:p>
    <w:p>
      <w:pPr>
        <w:pStyle w:val="FirstParagraph"/>
      </w:pPr>
      <w:r>
        <w:t xml:space="preserve">Security relies on Daml ledger immutability, the absence of global state, and</w:t>
      </w:r>
      <w:r>
        <w:t xml:space="preserve"> </w:t>
      </w:r>
      <w:r>
        <w:t xml:space="preserve">node-applied execution. The validation ladder spans static analysis, generative</w:t>
      </w:r>
      <w:r>
        <w:t xml:space="preserve"> </w:t>
      </w:r>
      <w:r>
        <w:t xml:space="preserve">property testing, and formal proofs.</w:t>
      </w:r>
    </w:p>
    <w:bookmarkStart w:id="42" w:name="X0b8fdc3f82f88fd5edf1be90f3d3ef9ed718a90"/>
    <w:p>
      <w:pPr>
        <w:pStyle w:val="Heading3"/>
      </w:pPr>
      <w:r>
        <w:t xml:space="preserve">7.1 Security Invariants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Solvency conservation.</w:t>
      </w:r>
      <w:r>
        <w:t xml:space="preserve"> </w:t>
      </w:r>
      <w:r>
        <w:t xml:space="preserve">Collateral can never be withdrawn (or a borrow</w:t>
      </w:r>
      <w:r>
        <w:t xml:space="preserve"> </w:t>
      </w:r>
      <w:r>
        <w:t xml:space="preserve">succeed) if it would push</w:t>
      </w:r>
      <w:r>
        <w:t xml:space="preserve"> </w:t>
      </w:r>
      <w:r>
        <w:rPr>
          <w:rStyle w:val="VerbatimChar"/>
        </w:rPr>
        <w:t xml:space="preserve">collateralRatio</w:t>
      </w:r>
      <w:r>
        <w:t xml:space="preserve"> </w:t>
      </w:r>
      <w:r>
        <w:t xml:space="preserve">below</w:t>
      </w:r>
      <w:r>
        <w:t xml:space="preserve"> </w:t>
      </w:r>
      <w:r>
        <w:rPr>
          <w:rStyle w:val="VerbatimChar"/>
        </w:rPr>
        <w:t xml:space="preserve">VaultParams.minCollateralRatio</w:t>
      </w:r>
      <w:r>
        <w:t xml:space="preserve">;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t xml:space="preserve">is bounded by</w:t>
      </w:r>
      <w:r>
        <w:t xml:space="preserve"> </w:t>
      </w:r>
      <w:r>
        <w:rPr>
          <w:rStyle w:val="VerbatimChar"/>
        </w:rPr>
        <w:t xml:space="preserve">ratio &lt; liquidationRatio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Debt conservation.</w:t>
      </w:r>
      <w:r>
        <w:t xml:space="preserve"> </w:t>
      </w:r>
      <w:r>
        <w:t xml:space="preserve">Stablecoin minted on borrow equals debt recorded; debt</w:t>
      </w:r>
      <w:r>
        <w:t xml:space="preserve"> </w:t>
      </w:r>
      <w:r>
        <w:t xml:space="preserve">burned on repay equals debt cleared. No unbacked issuance — minting requires</w:t>
      </w:r>
      <w:r>
        <w:t xml:space="preserve"> </w:t>
      </w:r>
      <w:r>
        <w:t xml:space="preserve">the admin's authority and a solvency-passing vault.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Settlement atomicity.</w:t>
      </w:r>
      <w:r>
        <w:t xml:space="preserve"> </w:t>
      </w:r>
      <w:r>
        <w:t xml:space="preserve">Liquidation and repayment are single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transactions: they either complete fully or revert — no partial liquidation.</w:t>
      </w:r>
    </w:p>
    <w:bookmarkEnd w:id="42"/>
    <w:bookmarkStart w:id="43" w:name="Xaab86e3d0b08d71744e215891835d7b00e2d099"/>
    <w:p>
      <w:pPr>
        <w:pStyle w:val="Heading3"/>
      </w:pPr>
      <w:r>
        <w:t xml:space="preserve">7.2 The Validation Ladder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Purpose and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1: 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daml-lint</w:t>
            </w:r>
          </w:p>
        </w:tc>
        <w:tc>
          <w:tcPr/>
          <w:p>
            <w:pPr>
              <w:pStyle w:val="Compact"/>
            </w:pPr>
            <w:r>
              <w:t xml:space="preserve">Decimal bounds, unguarded division, positivity, archive-before-execute; verifies the</w:t>
            </w:r>
            <w:r>
              <w:t xml:space="preserve"> </w:t>
            </w: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closed-sum wrapper and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  <w:r>
              <w:t xml:space="preserve"> </w:t>
            </w:r>
            <w:r>
              <w:t xml:space="preserve">guards on state-altering choices.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2: Generative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daml-props</w:t>
            </w:r>
          </w:p>
        </w:tc>
        <w:tc>
          <w:tcPr/>
          <w:p>
            <w:pPr>
              <w:pStyle w:val="Compact"/>
            </w:pPr>
            <w:r>
              <w:t xml:space="preserve">Property-based testing with shrinking: conservation/supply/balance invariants under fuzzed inputs; verifies unauthorized parties cannot reach admin functions (D4).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3: Formal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daml-verify</w:t>
            </w:r>
          </w:p>
        </w:tc>
        <w:tc>
          <w:tcPr/>
          <w:p>
            <w:pPr>
              <w:pStyle w:val="Compact"/>
            </w:pPr>
            <w:r>
              <w:t xml:space="preserve">Z3-backed proofs: collateral cannot be extracted below</w:t>
            </w:r>
            <w:r>
              <w:t xml:space="preserve"> </w:t>
            </w:r>
            <w:r>
              <w:rPr>
                <w:rStyle w:val="VerbatimChar"/>
              </w:rPr>
              <w:t xml:space="preserve">minCollateralRatio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Vault_Liquidate</w:t>
            </w:r>
            <w:r>
              <w:t xml:space="preserve"> </w:t>
            </w:r>
            <w:r>
              <w:t xml:space="preserve">is bounded by the solvency assertion; pause/compliance bypass is impossible.</w:t>
            </w:r>
          </w:p>
        </w:tc>
      </w:tr>
    </w:tbl>
    <w:p>
      <w:pPr>
        <w:pStyle w:val="BodyText"/>
      </w:pPr>
      <w:r>
        <w:t xml:space="preserve">(Tooling exists in the workspace; no benchmark latencies are claimed.)</w:t>
      </w:r>
    </w:p>
    <w:bookmarkEnd w:id="43"/>
    <w:bookmarkStart w:id="44" w:name="Xe92ea9915736887e5df374d716c5eeaf31714ac"/>
    <w:p>
      <w:pPr>
        <w:pStyle w:val="Heading3"/>
      </w:pPr>
      <w:r>
        <w:t xml:space="preserve">7.3 Threat Model and Failure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manipulation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PriceOracle</w:t>
            </w:r>
            <w:r>
              <w:t xml:space="preserve"> </w:t>
            </w:r>
            <w:r>
              <w:t xml:space="preserve">manipulated or stalled → unjust liquidations or bad-debt accrual.</w:t>
            </w:r>
          </w:p>
        </w:tc>
        <w:tc>
          <w:tcPr/>
          <w:p>
            <w:pPr>
              <w:pStyle w:val="Compact"/>
            </w:pPr>
            <w:r>
              <w:t xml:space="preserve">Updates restricted via</w:t>
            </w:r>
            <w:r>
              <w:t xml:space="preserve"> </w:t>
            </w:r>
            <w:r>
              <w:rPr>
                <w:rStyle w:val="VerbatimChar"/>
              </w:rPr>
              <w:t xml:space="preserve">oz-access-control</w:t>
            </w:r>
            <w:r>
              <w:t xml:space="preserve"> </w:t>
            </w:r>
            <w:r>
              <w:rPr>
                <w:rStyle w:val="VerbatimChar"/>
              </w:rPr>
              <w:t xml:space="preserve">RoleGrant</w:t>
            </w:r>
            <w:r>
              <w:t xml:space="preserve"> </w:t>
            </w:r>
            <w:r>
              <w:t xml:space="preserve">to trusted providers; bound max price deviation per update and reject anomalous spikes.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Settlement-leg failure</w:t>
            </w:r>
          </w:p>
        </w:tc>
        <w:tc>
          <w:tcPr/>
          <w:p>
            <w:pPr>
              <w:pStyle w:val="Compact"/>
            </w:pPr>
            <w:r>
              <w:t xml:space="preserve">Liquidator under-funds the batch → attempted partial/broken liquidation.</w:t>
            </w:r>
          </w:p>
        </w:tc>
        <w:tc>
          <w:tcPr/>
          <w:p>
            <w:pPr>
              <w:pStyle w:val="Compact"/>
            </w:pPr>
            <w:r>
              <w:t xml:space="preserve">Daml atomicity: the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reverts entirely; partial liquidation is impossible; collateral stays locked, no debt cleared.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evasion (D1)</w:t>
            </w:r>
          </w:p>
        </w:tc>
        <w:tc>
          <w:tcPr/>
          <w:p>
            <w:pPr>
              <w:pStyle w:val="Compact"/>
            </w:pPr>
            <w:r>
              <w:t xml:space="preserve">Borrower attempts to bypass KYC.</w:t>
            </w:r>
          </w:p>
        </w:tc>
        <w:tc>
          <w:tcPr/>
          <w:p>
            <w:pPr>
              <w:pStyle w:val="Compact"/>
            </w:pPr>
            <w:r>
              <w:t xml:space="preserve">Shape B requires a statically-provided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validated against the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; a protected choice cannot execute without valid credentials in the payload (fail-closed).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admin action</w:t>
            </w:r>
          </w:p>
        </w:tc>
        <w:tc>
          <w:tcPr/>
          <w:p>
            <w:pPr>
              <w:pStyle w:val="Compact"/>
            </w:pPr>
            <w:r>
              <w:t xml:space="preserve">Attacker tries to mint unbacked debt or invoke D2 seizure.</w:t>
            </w:r>
          </w:p>
        </w:tc>
        <w:tc>
          <w:tcPr/>
          <w:p>
            <w:pPr>
              <w:pStyle w:val="Compact"/>
            </w:pPr>
            <w:r>
              <w:t xml:space="preserve">Requires a valid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 </w:t>
            </w:r>
            <w:r>
              <w:t xml:space="preserve">contract id, unforgeable under Daml-LF semantics; D2 sweep is hardcoded to the preset</w:t>
            </w:r>
            <w:r>
              <w:t xml:space="preserve"> </w:t>
            </w:r>
            <w:r>
              <w:rPr>
                <w:rStyle w:val="VerbatimChar"/>
              </w:rPr>
              <w:t xml:space="preserve">custodianDestination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X2213aa400af3badbf7f432163a1336f639e261c"/>
    <w:p>
      <w:pPr>
        <w:pStyle w:val="Heading2"/>
      </w:pPr>
      <w:r>
        <w:t xml:space="preserve">8. Cross-Synchronizer Domain Extension (Planned)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BlockText"/>
      </w:pPr>
      <w:r>
        <w:rPr>
          <w:b/>
          <w:bCs/>
        </w:rPr>
        <w:t xml:space="preserve">Shared model:</w:t>
      </w:r>
      <w:r>
        <w:t xml:space="preserve"> </w:t>
      </w:r>
      <w:r>
        <w:t xml:space="preserve">the cross-synchronizer mechanism (per-synchronizer</w:t>
      </w:r>
      <w:r>
        <w:t xml:space="preserve"> </w:t>
      </w:r>
      <w:r>
        <w:t xml:space="preserve">assignment + unassign/assign reassignment, and the SCU-compliant additive</w:t>
      </w:r>
      <w:r>
        <w:t xml:space="preserve"> </w:t>
      </w:r>
      <w:r>
        <w:t xml:space="preserve">path) is identical across all four RIs and is owned in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§5. This section elaborates only the</w:t>
      </w:r>
      <w:r>
        <w:t xml:space="preserve"> </w:t>
      </w:r>
      <w:r>
        <w:t xml:space="preserve">RI-specific topology.</w:t>
      </w:r>
    </w:p>
    <w:p>
      <w:pPr>
        <w:pStyle w:val="BlockText"/>
      </w:pPr>
      <w:r>
        <w:rPr>
          <w:b/>
          <w:bCs/>
        </w:rPr>
        <w:t xml:space="preserve">Status: out of scope for the initial M1 design; deferred and planned for</w:t>
      </w:r>
      <w:r>
        <w:rPr>
          <w:b/>
          <w:bCs/>
        </w:rPr>
        <w:t xml:space="preserve"> </w:t>
      </w:r>
      <w:r>
        <w:rPr>
          <w:b/>
          <w:bCs/>
        </w:rPr>
        <w:t xml:space="preserve">eventual development.</w:t>
      </w:r>
      <w:r>
        <w:t xml:space="preserve"> </w:t>
      </w:r>
      <w:r>
        <w:t xml:space="preserve">Today the protocol and the CIP-0112 scaffold are</w:t>
      </w:r>
      <w:r>
        <w:t xml:space="preserve"> </w:t>
      </w:r>
      <w:r>
        <w:rPr>
          <w:b/>
          <w:bCs/>
        </w:rPr>
        <w:t xml:space="preserve">single-synchronizer</w:t>
      </w:r>
      <w:r>
        <w:t xml:space="preserve">, and D3 cross-domain identity is deferred (PLAN.md</w:t>
      </w:r>
      <w:r>
        <w:t xml:space="preserve"> </w:t>
      </w:r>
      <w:r>
        <w:t xml:space="preserve">Decision Log; AGENTS.md §Decision Authority). This section plans the extension</w:t>
      </w:r>
      <w:r>
        <w:t xml:space="preserve"> </w:t>
      </w:r>
      <w:r>
        <w:t xml:space="preserve">following Canton's real cross-synchronizer model (per-synchronizer contract</w:t>
      </w:r>
      <w:r>
        <w:t xml:space="preserve"> </w:t>
      </w:r>
      <w:r>
        <w:t xml:space="preserve">assignment + the unassign/assign reassignment protocol) and the SCU rule.</w:t>
      </w:r>
    </w:p>
    <w:bookmarkStart w:id="46" w:name="X3e300a7da99970c4a19ff63e3dc05d50fd003ad"/>
    <w:p>
      <w:pPr>
        <w:pStyle w:val="Heading3"/>
      </w:pPr>
      <w:r>
        <w:t xml:space="preserve">8.1 What "cross-synchronizer" means for a lending vault</w:t>
      </w:r>
    </w:p>
    <w:p>
      <w:pPr>
        <w:pStyle w:val="FirstParagraph"/>
      </w:pPr>
      <w:r>
        <w:t xml:space="preserve">Each contract is assigned to exactly one synchronizer; a transaction uses only</w:t>
      </w:r>
      <w:r>
        <w:t xml:space="preserve"> </w:t>
      </w:r>
      <w:r>
        <w:t xml:space="preserve">contracts on the same synchronizer. A cross-synchronizer lending protocol is not</w:t>
      </w:r>
      <w:r>
        <w:t xml:space="preserve"> </w:t>
      </w:r>
      <w:r>
        <w:t xml:space="preserve">one globally visible vault — it is per-synchronizer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VaultParams</w:t>
      </w:r>
      <w:r>
        <w:t xml:space="preserve"> </w:t>
      </w:r>
      <w:r>
        <w:t xml:space="preserve">contracts plus a disciplined reassignment workflow that preserves</w:t>
      </w:r>
      <w:r>
        <w:t xml:space="preserve"> </w:t>
      </w:r>
      <w:r>
        <w:t xml:space="preserve">atomicity and privacy across domains.</w:t>
      </w:r>
    </w:p>
    <w:bookmarkEnd w:id="46"/>
    <w:bookmarkStart w:id="47" w:name="X34529619bf8e9e3c20c30e26c2126b6cf19dc75"/>
    <w:p>
      <w:pPr>
        <w:pStyle w:val="Heading3"/>
      </w:pPr>
      <w:r>
        <w:t xml:space="preserve">8.2 Where the protocol touches the synchronizer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Single-domain v1 (today)</w:t>
            </w:r>
          </w:p>
        </w:tc>
        <w:tc>
          <w:tcPr/>
          <w:p>
            <w:pPr>
              <w:pStyle w:val="Compact"/>
            </w:pPr>
            <w:r>
              <w:t xml:space="preserve">Cross-synchronizer extension (planned)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One vault on the home synchronizer.</w:t>
            </w:r>
          </w:p>
        </w:tc>
        <w:tc>
          <w:tcPr/>
          <w:p>
            <w:pPr>
              <w:pStyle w:val="Compact"/>
            </w:pPr>
            <w:r>
              <w:t xml:space="preserve">Vault stays on its home synchronizer; cross-domain collateral is reassigned in for the settling transaction, then results reassigned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Collateral / debt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Created and settled on the vault's synchronizer.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b/>
                <w:bCs/>
              </w:rPr>
              <w:t xml:space="preserve">reassignable</w:t>
            </w:r>
            <w:r>
              <w:t xml:space="preserve">: collateral on the borrower's home synchronizer is unassigned, assigned to the vault's synchronizer before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PriceOracle</w:t>
            </w:r>
          </w:p>
        </w:tc>
        <w:tc>
          <w:tcPr/>
          <w:p>
            <w:pPr>
              <w:pStyle w:val="Compact"/>
            </w:pPr>
            <w:r>
              <w:t xml:space="preserve">One oracle per synchronizer.</w:t>
            </w:r>
          </w:p>
        </w:tc>
        <w:tc>
          <w:tcPr/>
          <w:p>
            <w:pPr>
              <w:pStyle w:val="Compact"/>
            </w:pPr>
            <w:r>
              <w:t xml:space="preserve">Liquidation must price against the oracle on the</w:t>
            </w:r>
            <w:r>
              <w:t xml:space="preserve"> </w:t>
            </w:r>
            <w:r>
              <w:rPr>
                <w:b/>
                <w:bCs/>
              </w:rPr>
              <w:t xml:space="preserve">settling</w:t>
            </w:r>
            <w:r>
              <w:t xml:space="preserve"> </w:t>
            </w:r>
            <w:r>
              <w:t xml:space="preserve">synchronizer; no stale cross-domain price reuse.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compliance</w:t>
            </w:r>
          </w:p>
        </w:tc>
        <w:tc>
          <w:tcPr/>
          <w:p>
            <w:pPr>
              <w:pStyle w:val="Compact"/>
            </w:pPr>
            <w:r>
              <w:t xml:space="preserve">Node-side check on the settling synchronizer.</w:t>
            </w:r>
          </w:p>
        </w:tc>
        <w:tc>
          <w:tcPr/>
          <w:p>
            <w:pPr>
              <w:pStyle w:val="Compact"/>
            </w:pPr>
            <w:r>
              <w:t xml:space="preserve">Re-evaluated on whichever synchronizer the leg settles; no attestation carried across a reassignment (fail-closed holds).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identity</w:t>
            </w:r>
          </w:p>
        </w:tc>
        <w:tc>
          <w:tcPr/>
          <w:p>
            <w:pPr>
              <w:pStyle w:val="Compact"/>
            </w:pPr>
            <w:r>
              <w:t xml:space="preserve">Single-domain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Cross-domain identity (ONCHAINID / ERC-3643 / CCID) resolved into a synchronizer-aware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 </w:t>
            </w:r>
            <w:r>
              <w:t xml:space="preserve">— the deferred D3 work.</w:t>
            </w:r>
          </w:p>
        </w:tc>
      </w:tr>
    </w:tbl>
    <w:bookmarkEnd w:id="47"/>
    <w:bookmarkStart w:id="48" w:name="X3ff25ebd74ca6946f284a7256cb7cd95d1ab5c6"/>
    <w:p>
      <w:pPr>
        <w:pStyle w:val="Heading3"/>
      </w:pPr>
      <w:r>
        <w:t xml:space="preserve">8.3 The additive, non-breaking path (SCU-compliant)</w:t>
      </w:r>
    </w:p>
    <w:p>
      <w:pPr>
        <w:pStyle w:val="Compact"/>
        <w:numPr>
          <w:ilvl w:val="0"/>
          <w:numId w:val="1006"/>
        </w:numPr>
      </w:pPr>
      <w:r>
        <w:t xml:space="preserve">Append</w:t>
      </w:r>
      <w:r>
        <w:t xml:space="preserve"> </w:t>
      </w:r>
      <w:r>
        <w:rPr>
          <w:rStyle w:val="VerbatimChar"/>
        </w:rPr>
        <w:t xml:space="preserve">Optional SynchronizerScope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/ RI allocation wrappers; older</w:t>
      </w:r>
      <w:r>
        <w:t xml:space="preserve"> </w:t>
      </w:r>
      <w:r>
        <w:t xml:space="preserve">contracts 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behave as today.</w:t>
      </w:r>
    </w:p>
    <w:p>
      <w:pPr>
        <w:pStyle w:val="Compact"/>
        <w:numPr>
          <w:ilvl w:val="0"/>
          <w:numId w:val="1006"/>
        </w:numPr>
      </w:pPr>
      <w:r>
        <w:t xml:space="preserve">Add a new parallel choice (e.g.</w:t>
      </w:r>
      <w:r>
        <w:t xml:space="preserve"> </w:t>
      </w:r>
      <w:r>
        <w:rPr>
          <w:rStyle w:val="VerbatimChar"/>
        </w:rPr>
        <w:t xml:space="preserve">Vault_LiquidateCrossDomain</w:t>
      </w:r>
      <w:r>
        <w:t xml:space="preserve">) alongside the</w:t>
      </w:r>
      <w:r>
        <w:t xml:space="preserve"> </w:t>
      </w:r>
      <w:r>
        <w:t xml:space="preserve">unchanged single-domain choice.</w:t>
      </w:r>
    </w:p>
    <w:p>
      <w:pPr>
        <w:pStyle w:val="Compact"/>
        <w:numPr>
          <w:ilvl w:val="0"/>
          <w:numId w:val="1006"/>
        </w:numPr>
      </w:pPr>
      <w:r>
        <w:t xml:space="preserve">Model reassignment as workflow, not mutation: reassign collateral/debt</w:t>
      </w:r>
      <w:r>
        <w:t xml:space="preserve"> </w:t>
      </w:r>
      <w:r>
        <w:t xml:space="preserve">allocations onto the vault's synchronizer →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there → reassign</w:t>
      </w:r>
      <w:r>
        <w:t xml:space="preserve"> </w:t>
      </w:r>
      <w:r>
        <w:t xml:space="preserve">results back. Each step is an archive-and-recreate-style assignment.</w:t>
      </w:r>
    </w:p>
    <w:p>
      <w:pPr>
        <w:pStyle w:val="Compact"/>
        <w:numPr>
          <w:ilvl w:val="0"/>
          <w:numId w:val="1006"/>
        </w:numPr>
      </w:pPr>
      <w:r>
        <w:t xml:space="preserve">Keep atomicity at the batch boundary: true DvP stays a single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on</w:t>
      </w:r>
      <w:r>
        <w:t xml:space="preserve"> </w:t>
      </w:r>
      <w:r>
        <w:t xml:space="preserve">one synchronizer; cross-domain atomicity is achieved by reassigning all legs</w:t>
      </w:r>
      <w:r>
        <w:t xml:space="preserve"> </w:t>
      </w:r>
      <w:r>
        <w:t xml:space="preserve">onto that synchronizer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batch.</w:t>
      </w:r>
    </w:p>
    <w:bookmarkEnd w:id="48"/>
    <w:bookmarkStart w:id="49" w:name="X60de9bed5e6603d70a9bd57ed6c194ae568df13"/>
    <w:p>
      <w:pPr>
        <w:pStyle w:val="Heading3"/>
      </w:pPr>
      <w:r>
        <w:t xml:space="preserve">8.4 Open questions specific to cross-synchronizer operation</w:t>
      </w:r>
    </w:p>
    <w:p>
      <w:pPr>
        <w:pStyle w:val="Compact"/>
        <w:numPr>
          <w:ilvl w:val="0"/>
          <w:numId w:val="1007"/>
        </w:numPr>
      </w:pPr>
      <w:r>
        <w:t xml:space="preserve">Reassignment-vs-settlement atomicity: if collateral is assigned to the vault's</w:t>
      </w:r>
      <w:r>
        <w:t xml:space="preserve"> </w:t>
      </w:r>
      <w:r>
        <w:t xml:space="preserve">synchronizer but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then fails, is the reassignment rolled back, or</w:t>
      </w:r>
      <w:r>
        <w:t xml:space="preserve"> </w:t>
      </w:r>
      <w:r>
        <w:t xml:space="preserve">does the borrower retain a re-home-able allocation? (Maps to return-to-sender.)</w:t>
      </w:r>
    </w:p>
    <w:p>
      <w:pPr>
        <w:pStyle w:val="Compact"/>
        <w:numPr>
          <w:ilvl w:val="0"/>
          <w:numId w:val="1007"/>
        </w:numPr>
      </w:pPr>
      <w:r>
        <w:t xml:space="preserve">Cross-domain liquidation: which synchronizer's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and liquidator set</w:t>
      </w:r>
      <w:r>
        <w:t xml:space="preserve"> </w:t>
      </w:r>
      <w:r>
        <w:t xml:space="preserve">govern a vault whose collateral lives on another synchronizer?</w:t>
      </w:r>
    </w:p>
    <w:p>
      <w:pPr>
        <w:pStyle w:val="Compact"/>
        <w:numPr>
          <w:ilvl w:val="0"/>
          <w:numId w:val="1007"/>
        </w:numPr>
      </w:pPr>
      <w:r>
        <w:t xml:space="preserve">Cross-domain D1 freshness: confirm compliance is re-checked on the settling</w:t>
      </w:r>
      <w:r>
        <w:t xml:space="preserve"> </w:t>
      </w:r>
      <w:r>
        <w:t xml:space="preserve">synchronizer, never reused across a reassignment.</w:t>
      </w:r>
    </w:p>
    <w:p>
      <w:pPr>
        <w:pStyle w:val="Compact"/>
        <w:numPr>
          <w:ilvl w:val="0"/>
          <w:numId w:val="1007"/>
        </w:numPr>
      </w:pPr>
      <w:r>
        <w:t xml:space="preserve">Reassignment tooling maturity (evolving Canton/Digital Asset stack); assumes</w:t>
      </w:r>
      <w:r>
        <w:t xml:space="preserve"> </w:t>
      </w:r>
      <w:r>
        <w:t xml:space="preserve">drop-in integration as it matures.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1eac4ebe82c6da8aa74d16d08bf85a2f3190a4f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Multi-party attestation scaling (M3).</w:t>
      </w:r>
      <w:r>
        <w:t xml:space="preserve"> </w:t>
      </w:r>
      <w:r>
        <w:t xml:space="preserve">Multi-attestation can be expressed by</w:t>
      </w:r>
      <w:r>
        <w:t xml:space="preserve"> </w:t>
      </w:r>
      <w:r>
        <w:t xml:space="preserve">stacking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grants, but threshold mechanics (e.g. 2-of-3</w:t>
      </w:r>
      <w:r>
        <w:t xml:space="preserve"> </w:t>
      </w:r>
      <w:r>
        <w:t xml:space="preserve">compliance verifiers) are undecided: native in the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 </w:t>
      </w:r>
      <w:r>
        <w:t xml:space="preserve">vs an</w:t>
      </w:r>
      <w:r>
        <w:t xml:space="preserve"> </w:t>
      </w:r>
      <w:r>
        <w:t xml:space="preserve">intermediary authorization contract (separation of concerns).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Cross-domain identity sub-systems.</w:t>
      </w:r>
      <w:r>
        <w:t xml:space="preserve"> </w:t>
      </w:r>
      <w:r>
        <w:t xml:space="preserve">When ERC-3643 / ONCHAINID are added via</w:t>
      </w:r>
      <w:r>
        <w:t xml:space="preserve"> </w:t>
      </w:r>
      <w:r>
        <w:t xml:space="preserve">SCU, the on-chain mapping equating an external CCID with a Canton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needs formal specification.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Iterated-settlement edge cases.</w:t>
      </w:r>
      <w:r>
        <w:t xml:space="preserve"> </w:t>
      </w:r>
      <w:r>
        <w:t xml:space="preserve">If a borrower commits funds via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but lets the time-lock expire without finalizing, how is</w:t>
      </w:r>
      <w:r>
        <w:t xml:space="preserve"> </w:t>
      </w:r>
      <w:r>
        <w:t xml:space="preserve">the automated return orchestrated without manual admin intervention?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Oracle update economics.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has no inherent on-chain incentive;</w:t>
      </w:r>
      <w:r>
        <w:t xml:space="preserve"> </w:t>
      </w:r>
      <w:r>
        <w:t xml:space="preserve">whether high-frequency updates need a fee carve-out from</w:t>
      </w:r>
      <w:r>
        <w:t xml:space="preserve"> </w:t>
      </w:r>
      <w:r>
        <w:rPr>
          <w:rStyle w:val="VerbatimChar"/>
        </w:rPr>
        <w:t xml:space="preserve">stabilityFeeRate</w:t>
      </w:r>
      <w:r>
        <w:t xml:space="preserve"> </w:t>
      </w:r>
      <w:r>
        <w:t xml:space="preserve">to</w:t>
      </w:r>
      <w:r>
        <w:t xml:space="preserve"> </w:t>
      </w:r>
      <w:r>
        <w:t xml:space="preserve">offset node-attestation costs is open.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Cross-synchronizer operation</w:t>
      </w:r>
      <w:r>
        <w:t xml:space="preserve"> </w:t>
      </w:r>
      <w:r>
        <w:t xml:space="preserve">(see §8) — deferred; tracked there until</w:t>
      </w:r>
      <w:r>
        <w:t xml:space="preserve"> </w:t>
      </w:r>
      <w:r>
        <w:t xml:space="preserve">ecosystem reassignment tooling matures.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Composability with the other RIs</w:t>
      </w:r>
      <w:r>
        <w:t xml:space="preserve"> </w:t>
      </w:r>
      <w:r>
        <w:t xml:space="preserve">(forward-compatibility; suite view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§3): seized collateral from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t xml:space="preserve">could be routed to the Auction RI</w:t>
      </w:r>
      <w:r>
        <w:t xml:space="preserve"> </w:t>
      </w:r>
      <w:r>
        <w:t xml:space="preserve">(</w:t>
      </w:r>
      <w:hyperlink r:id="rId51">
        <w:r>
          <w:rPr>
            <w:rStyle w:val="VerbatimChar"/>
          </w:rPr>
          <w:t xml:space="preserve">04</w:t>
        </w:r>
      </w:hyperlink>
      <w:r>
        <w:t xml:space="preserve">) for confidential fair-value recovery;</w:t>
      </w:r>
      <w:r>
        <w:t xml:space="preserve"> </w:t>
      </w:r>
      <w:r>
        <w:t xml:space="preserve">conversely, a borrower can mint stablecoin here and</w:t>
      </w:r>
      <w:r>
        <w:t xml:space="preserve"> </w:t>
      </w:r>
      <w:r>
        <w:rPr>
          <w:b/>
          <w:bCs/>
        </w:rPr>
        <w:t xml:space="preserve">bid in the Auction RI</w:t>
      </w:r>
      <w:r>
        <w:t xml:space="preserve">.</w:t>
      </w:r>
      <w:r>
        <w:t xml:space="preserve"> </w:t>
      </w:r>
      <w:r>
        <w:t xml:space="preserve">Lending shares the vault / oracle / credential stack with the Stablecoin RI</w:t>
      </w:r>
      <w:r>
        <w:t xml:space="preserve"> </w:t>
      </w:r>
      <w:r>
        <w:t xml:space="preserve">(</w:t>
      </w:r>
      <w:hyperlink r:id="rId52">
        <w:r>
          <w:rPr>
            <w:rStyle w:val="VerbatimChar"/>
          </w:rPr>
          <w:t xml:space="preserve">03</w:t>
        </w:r>
      </w:hyperlink>
      <w:r>
        <w:t xml:space="preserve">) — all over the shared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spine.</w:t>
      </w:r>
    </w:p>
    <w:p>
      <w:r>
        <w:pict>
          <v:rect style="width:0;height:1.5pt" o:hralign="center" o:hrstd="t" o:hr="t"/>
        </w:pict>
      </w:r>
    </w:p>
    <w:bookmarkEnd w:id="53"/>
    <w:bookmarkStart w:id="5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All interface, template, choice, and field names are grounded in real source in</w:t>
      </w:r>
      <w:r>
        <w:t xml:space="preserve"> </w:t>
      </w:r>
      <w:r>
        <w:t xml:space="preserve">this workspace (verified 2026-06-24). Authoritative sources: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Vault / CDP / oracle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canton-stablecoin/stablecoin/daml/Stablecoin/{Vault,Oracle}.daml</w:t>
      </w:r>
      <w:r>
        <w:t xml:space="preserve"> </w:t>
      </w:r>
      <w:r>
        <w:t xml:space="preserve">(</w:t>
      </w:r>
      <w:r>
        <w:rPr>
          <w:rStyle w:val="VerbatimChar"/>
        </w:rPr>
        <w:t xml:space="preserve">VaultParams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VaultFactory_OpenVault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Vault_{DepositCollateral,WithdrawCollateral,MintStablecoin,BurnStablecoin,Liquidate,Close}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PriceOracle_UpdatePrice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canton-specs/experiments/cip112-settlement/daml/OpenZeppelin/Experimental/Settlement/Cip112.daml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Holdings / forced-burn / rules / preapproval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canton-token-template/simple-token/daml/SimpleToken/{Holding,Rules,Preapproval}.daml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Credential gating / verification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zk-credential-gateway/daml/src/ZkCredentialGateway/{GatedAction,Verification,Types}.daml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Typed D3 identity (KycClaim, TrustedIssuerRegistry)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canton-specs/experiments/identity-hook-shape-b/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identity-hook-upgrade-*/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AL-7 primitives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rPr>
          <w:rStyle w:val="VerbatimChar"/>
        </w:rPr>
        <w:t xml:space="preserve">access-control/</w:t>
      </w:r>
      <w:r>
        <w:t xml:space="preserve">,</w:t>
      </w:r>
      <w:r>
        <w:t xml:space="preserve"> </w:t>
      </w:r>
      <w:r>
        <w:rPr>
          <w:rStyle w:val="VerbatimChar"/>
        </w:rPr>
        <w:t xml:space="preserve">ownable/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pausable/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 authority (D1–D4), scope, SCU rule</w:t>
      </w:r>
      <w:r>
        <w:t xml:space="preserve"> </w:t>
      </w:r>
      <w:r>
        <w:t xml:space="preserve">— root</w:t>
      </w:r>
      <w:r>
        <w:t xml:space="preserve"> </w:t>
      </w:r>
      <w:hyperlink r:id="rId54">
        <w:r>
          <w:rPr>
            <w:rStyle w:val="VerbatimChar"/>
          </w:rPr>
          <w:t xml:space="preserve">PLAN.md</w:t>
        </w:r>
      </w:hyperlink>
      <w:r>
        <w:t xml:space="preserve">,</w:t>
      </w:r>
      <w:r>
        <w:t xml:space="preserve"> </w:t>
      </w:r>
      <w:hyperlink r:id="rId55">
        <w:r>
          <w:rPr>
            <w:rStyle w:val="VerbatimChar"/>
          </w:rPr>
          <w:t xml:space="preserve">AGENTS.md</w:t>
        </w:r>
      </w:hyperlink>
      <w:r>
        <w:t xml:space="preserve">, briefing</w:t>
      </w:r>
      <w:r>
        <w:t xml:space="preserve"> </w:t>
      </w:r>
      <w:hyperlink r:id="rId56">
        <w:r>
          <w:rPr>
            <w:rStyle w:val="VerbatimChar"/>
          </w:rPr>
          <w:t xml:space="preserve">docs/research/RI_RESEARCH_BRIEFING.md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Grant scope / milestones / deliverables (source of truth)</w:t>
      </w:r>
      <w:r>
        <w:t xml:space="preserve"> </w:t>
      </w:r>
      <w:r>
        <w:t xml:space="preserve">—</w:t>
      </w:r>
      <w:r>
        <w:t xml:space="preserve"> </w:t>
      </w:r>
      <w:hyperlink r:id="rId11">
        <w:r>
          <w:rPr>
            <w:rStyle w:val="VerbatimChar"/>
          </w:rPr>
          <w:t xml:space="preserve">docs/research/canton-ecosystem-grant-proposal.md</w:t>
        </w:r>
      </w:hyperlink>
      <w:r>
        <w:t xml:space="preserve"> </w:t>
      </w:r>
      <w:r>
        <w:t xml:space="preserve">(PR #298, approved; CIP-56→CIP-0112 retarget) and the distilled</w:t>
      </w:r>
      <w:r>
        <w:t xml:space="preserve"> </w:t>
      </w:r>
      <w:hyperlink r:id="rId12">
        <w:r>
          <w:rPr>
            <w:rStyle w:val="VerbatimChar"/>
          </w:rPr>
          <w:t xml:space="preserve">M3_LENDING_SCOPE.md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Diagram tooling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Validation ladder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daml-lint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daml-props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daml-verify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Token Standard V2 upstream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(import gated per PLAN.md).</w:t>
      </w:r>
    </w:p>
    <w:p>
      <w:pPr>
        <w:pStyle w:val="BlockText"/>
      </w:pPr>
      <w:r>
        <w:rPr>
          <w:b/>
          <w:bCs/>
        </w:rPr>
        <w:t xml:space="preserve">Removed in review:</w:t>
      </w:r>
      <w:r>
        <w:t xml:space="preserve"> </w:t>
      </w:r>
      <w:r>
        <w:t xml:space="preserve">the original draft cited external/non-workspace URLs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srikanth-bitdynamics/Canton-Dex-Reference-Implementation</w:t>
      </w:r>
      <w:r>
        <w:t xml:space="preserve"> </w:t>
      </w:r>
      <w:r>
        <w:t xml:space="preserve">GitHub repo,</w:t>
      </w:r>
      <w:r>
        <w:t xml:space="preserve"> </w:t>
      </w:r>
      <w:r>
        <w:rPr>
          <w:rStyle w:val="VerbatimChar"/>
        </w:rPr>
        <w:t xml:space="preserve">peektism</w:t>
      </w:r>
      <w:r>
        <w:t xml:space="preserve"> </w:t>
      </w:r>
      <w:r>
        <w:t xml:space="preserve">GitHub, Medium ecosystem round-ups, and assorted unrelated GitHub</w:t>
      </w:r>
      <w:r>
        <w:t xml:space="preserve"> </w:t>
      </w:r>
      <w:r>
        <w:t xml:space="preserve">repos / news pages — Fidelity, Cantor8, MarketsMedia, TokenIQ, FlowYieldVaults,</w:t>
      </w:r>
      <w:r>
        <w:t xml:space="preserve"> </w:t>
      </w:r>
      <w:r>
        <w:t xml:space="preserve">minimalist-dex, defi-oracles, a Sherlock audit issue) as authoritative</w:t>
      </w:r>
      <w:r>
        <w:t xml:space="preserve"> </w:t>
      </w:r>
      <w:r>
        <w:t xml:space="preserve">sources. None are part of this workspace or an authoritative spec; they were</w:t>
      </w:r>
      <w:r>
        <w:t xml:space="preserve"> </w:t>
      </w:r>
      <w:r>
        <w:t xml:space="preserve">removed and replaced with the workspace-grounded references above. See the</w:t>
      </w:r>
      <w:r>
        <w:t xml:space="preserve"> </w:t>
      </w:r>
      <w:r>
        <w:t xml:space="preserve">review record in</w:t>
      </w:r>
      <w:r>
        <w:t xml:space="preserve"> </w:t>
      </w:r>
      <w:hyperlink r:id="rId57">
        <w:r>
          <w:rPr>
            <w:rStyle w:val="VerbatimChar"/>
          </w:rPr>
          <w:t xml:space="preserve">../reviews/2026-06-24T22-38-29Z_REVIEW.md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Re-review 2026-06-25 (expert "blueprint" pass):</w:t>
      </w:r>
      <w:r>
        <w:t xml:space="preserve"> </w:t>
      </w:r>
      <w:r>
        <w:t xml:space="preserve">a second expert draft (a</w:t>
      </w:r>
      <w:r>
        <w:t xml:space="preserve"> </w:t>
      </w:r>
      <w:r>
        <w:t xml:space="preserve">US-financial-regulation-framed blueprint, §8 Lending) was assessed. Its central</w:t>
      </w:r>
      <w:r>
        <w:t xml:space="preserve"> </w:t>
      </w:r>
      <w:r>
        <w:t xml:space="preserve">proposal — a</w:t>
      </w:r>
      <w:r>
        <w:t xml:space="preserve"> </w:t>
      </w:r>
      <w:r>
        <w:rPr>
          <w:b/>
          <w:bCs/>
        </w:rPr>
        <w:t xml:space="preserve">Daml-native ERC-4626 share-accounting vault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(operator, vaultId)</w:t>
      </w:r>
      <w:r>
        <w:t xml:space="preserve">-keyed</w:t>
      </w:r>
      <w:r>
        <w:t xml:space="preserve"> </w:t>
      </w:r>
      <w:r>
        <w:rPr>
          <w:rStyle w:val="VerbatimChar"/>
        </w:rPr>
        <w:t xml:space="preserve">VaultState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VaultConfig</w:t>
      </w:r>
      <w:r>
        <w:t xml:space="preserve"> </w:t>
      </w:r>
      <w:r>
        <w:t xml:space="preserve">resolved by</w:t>
      </w:r>
      <w:r>
        <w:t xml:space="preserve"> </w:t>
      </w:r>
      <w:r>
        <w:rPr>
          <w:rStyle w:val="VerbatimChar"/>
        </w:rPr>
        <w:t xml:space="preserve">fetchByKey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UpdateSharePrice</w:t>
      </w:r>
      <w:r>
        <w:t xml:space="preserve"> </w:t>
      </w:r>
      <w:r>
        <w:t xml:space="preserve">oracle choice —</w:t>
      </w:r>
      <w:r>
        <w:t xml:space="preserve"> </w:t>
      </w:r>
      <w:r>
        <w:rPr>
          <w:b/>
          <w:bCs/>
        </w:rPr>
        <w:t xml:space="preserve">contradicts the locked</w:t>
      </w:r>
      <w:r>
        <w:rPr>
          <w:b/>
          <w:bCs/>
        </w:rPr>
        <w:t xml:space="preserve"> </w:t>
      </w:r>
      <w:r>
        <w:rPr>
          <w:b/>
          <w:bCs/>
        </w:rPr>
        <w:t xml:space="preserve">CDP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M3_LENDING_SCOPE.md</w:t>
      </w:r>
      <w:r>
        <w:t xml:space="preserve">: "contract-per-vault, NOT ERC-4626</w:t>
      </w:r>
      <w:r>
        <w:t xml:space="preserve"> </w:t>
      </w:r>
      <w:r>
        <w:t xml:space="preserve">share-accounting") and is built on identifiers that</w:t>
      </w:r>
      <w:r>
        <w:t xml:space="preserve"> </w:t>
      </w:r>
      <w:r>
        <w:rPr>
          <w:b/>
          <w:bCs/>
        </w:rPr>
        <w:t xml:space="preserve">do not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VaultState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VaultConfig</w:t>
      </w:r>
      <w:r>
        <w:t xml:space="preserve"> </w:t>
      </w:r>
      <w:r>
        <w:t xml:space="preserve">appear only in a test/model file; there are</w:t>
      </w:r>
      <w:r>
        <w:t xml:space="preserve"> </w:t>
      </w:r>
      <w:r>
        <w:rPr>
          <w:b/>
          <w:bCs/>
        </w:rPr>
        <w:t xml:space="preserve">no contract keys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; the real choices are</w:t>
      </w:r>
      <w:r>
        <w:t xml:space="preserve"> </w:t>
      </w:r>
      <w:r>
        <w:rPr>
          <w:rStyle w:val="VerbatimChar"/>
        </w:rPr>
        <w:t xml:space="preserve">Vault_*</w:t>
      </w:r>
      <w:r>
        <w:t xml:space="preserve">-prefixed with</w:t>
      </w:r>
      <w:r>
        <w:t xml:space="preserve"> </w:t>
      </w:r>
      <w:r>
        <w:rPr>
          <w:rStyle w:val="VerbatimChar"/>
        </w:rPr>
        <w:t xml:space="preserve">PriceOracle_UpdatePrice</w:t>
      </w:r>
      <w:r>
        <w:t xml:space="preserve">). It was</w:t>
      </w:r>
      <w:r>
        <w:t xml:space="preserve"> </w:t>
      </w:r>
      <w:r>
        <w:rPr>
          <w:b/>
          <w:bCs/>
        </w:rPr>
        <w:t xml:space="preserve">rejected</w:t>
      </w:r>
      <w:r>
        <w:t xml:space="preserve">, and §1 was hardened to name and</w:t>
      </w:r>
      <w:r>
        <w:t xml:space="preserve"> </w:t>
      </w:r>
      <w:r>
        <w:t xml:space="preserve">exclude that model explicitly. Also rejected:</w:t>
      </w:r>
      <w:r>
        <w:t xml:space="preserve"> </w:t>
      </w:r>
      <w:r>
        <w:rPr>
          <w:rStyle w:val="VerbatimChar"/>
        </w:rPr>
        <w:t xml:space="preserve">TransferInstructionV2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AmuletAllocationV2</w:t>
      </w:r>
      <w:r>
        <w:t xml:space="preserve"> </w:t>
      </w:r>
      <w:r>
        <w:t xml:space="preserve">(fabricated; only</w:t>
      </w:r>
      <w:r>
        <w:t xml:space="preserve"> </w:t>
      </w:r>
      <w:r>
        <w:rPr>
          <w:rStyle w:val="VerbatimChar"/>
        </w:rPr>
        <w:t xml:space="preserve">AllocationV2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AllocationRequestV2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HoldingV2</w:t>
      </w:r>
      <w:r>
        <w:t xml:space="preserve"> </w:t>
      </w:r>
      <w:r>
        <w:t xml:space="preserve">exist, as upstream</w:t>
      </w:r>
      <w:r>
        <w:t xml:space="preserve"> </w:t>
      </w:r>
      <w:r>
        <w:rPr>
          <w:rStyle w:val="VerbatimChar"/>
        </w:rPr>
        <w:t xml:space="preserve">Splice.Api.Token.*</w:t>
      </w:r>
      <w:r>
        <w:t xml:space="preserve"> </w:t>
      </w:r>
      <w:r>
        <w:t xml:space="preserve">imports),</w:t>
      </w:r>
      <w:r>
        <w:t xml:space="preserve"> </w:t>
      </w:r>
      <w:r>
        <w:rPr>
          <w:rStyle w:val="VerbatimChar"/>
        </w:rPr>
        <w:t xml:space="preserve">ComplianceRegistry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BlacklistValidator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ClaimsValidator</w:t>
      </w:r>
      <w:r>
        <w:t xml:space="preserve"> </w:t>
      </w:r>
      <w:r>
        <w:t xml:space="preserve">(the decided D1 model is the</w:t>
      </w:r>
      <w:r>
        <w:t xml:space="preserve"> </w:t>
      </w:r>
      <w:r>
        <w:t xml:space="preserve">node-applied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, already in §3), and the entire OCC / FDICIA /</w:t>
      </w:r>
      <w:r>
        <w:t xml:space="preserve"> </w:t>
      </w:r>
      <w:r>
        <w:t xml:space="preserve">SOX external-citation set. Integrated: the §1 CDP-vs-share-vault hardening and a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retroactive-interface-instance note (§3). Record:</w:t>
      </w:r>
      <w:r>
        <w:t xml:space="preserve"> </w:t>
      </w:r>
      <w:hyperlink r:id="rId58">
        <w:r>
          <w:rPr>
            <w:rStyle w:val="VerbatimChar"/>
          </w:rPr>
          <w:t xml:space="preserve">../reviews/2026-06-25T01-57-36Z_REVIEW.md</w:t>
        </w:r>
      </w:hyperlink>
      <w:r>
        <w:t xml:space="preserve">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55" Target="../../AGENTS.md" TargetMode="External" /><Relationship Type="http://schemas.openxmlformats.org/officeDocument/2006/relationships/hyperlink" Id="rId12" Target="../../M3_LENDING_SCOPE.md" TargetMode="External" /><Relationship Type="http://schemas.openxmlformats.org/officeDocument/2006/relationships/hyperlink" Id="rId54" Target="../../PLAN.md" TargetMode="External" /><Relationship Type="http://schemas.openxmlformats.org/officeDocument/2006/relationships/hyperlink" Id="rId56" Target="../research/RI_RESEARCH_BRIEFING.md" TargetMode="External" /><Relationship Type="http://schemas.openxmlformats.org/officeDocument/2006/relationships/hyperlink" Id="rId11" Target="../research/canton-ecosystem-grant-proposal.md" TargetMode="External" /><Relationship Type="http://schemas.openxmlformats.org/officeDocument/2006/relationships/hyperlink" Id="rId57" Target="../reviews/2026-06-24T22-38-29Z_REVIEW.md" TargetMode="External" /><Relationship Type="http://schemas.openxmlformats.org/officeDocument/2006/relationships/hyperlink" Id="rId58" Target="../reviews/2026-06-25T01-57-36Z_REVIEW.md" TargetMode="External" /><Relationship Type="http://schemas.openxmlformats.org/officeDocument/2006/relationships/hyperlink" Id="rId9" Target="./00-portfolio.md" TargetMode="External" /><Relationship Type="http://schemas.openxmlformats.org/officeDocument/2006/relationships/hyperlink" Id="rId52" Target="./03-cross-chain-stablecoin.md" TargetMode="External" /><Relationship Type="http://schemas.openxmlformats.org/officeDocument/2006/relationships/hyperlink" Id="rId51" Target="./04-confidential-auction.md" TargetMode="External" /><Relationship Type="http://schemas.openxmlformats.org/officeDocument/2006/relationships/hyperlink" Id="rId1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../AGENTS.md" TargetMode="External" /><Relationship Type="http://schemas.openxmlformats.org/officeDocument/2006/relationships/hyperlink" Id="rId12" Target="../../M3_LENDING_SCOPE.md" TargetMode="External" /><Relationship Type="http://schemas.openxmlformats.org/officeDocument/2006/relationships/hyperlink" Id="rId54" Target="../../PLAN.md" TargetMode="External" /><Relationship Type="http://schemas.openxmlformats.org/officeDocument/2006/relationships/hyperlink" Id="rId56" Target="../research/RI_RESEARCH_BRIEFING.md" TargetMode="External" /><Relationship Type="http://schemas.openxmlformats.org/officeDocument/2006/relationships/hyperlink" Id="rId11" Target="../research/canton-ecosystem-grant-proposal.md" TargetMode="External" /><Relationship Type="http://schemas.openxmlformats.org/officeDocument/2006/relationships/hyperlink" Id="rId57" Target="../reviews/2026-06-24T22-38-29Z_REVIEW.md" TargetMode="External" /><Relationship Type="http://schemas.openxmlformats.org/officeDocument/2006/relationships/hyperlink" Id="rId58" Target="../reviews/2026-06-25T01-57-36Z_REVIEW.md" TargetMode="External" /><Relationship Type="http://schemas.openxmlformats.org/officeDocument/2006/relationships/hyperlink" Id="rId9" Target="./00-portfolio.md" TargetMode="External" /><Relationship Type="http://schemas.openxmlformats.org/officeDocument/2006/relationships/hyperlink" Id="rId52" Target="./03-cross-chain-stablecoin.md" TargetMode="External" /><Relationship Type="http://schemas.openxmlformats.org/officeDocument/2006/relationships/hyperlink" Id="rId51" Target="./04-confidential-auction.md" TargetMode="External" /><Relationship Type="http://schemas.openxmlformats.org/officeDocument/2006/relationships/hyperlink" Id="rId1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2026-06-25T03:33:45Z</dcterms:created>
  <dcterms:modified xsi:type="dcterms:W3CDTF">2026-06-25T03:33:45Z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