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Start w:id="58" w:name="Xbc49684b1b6b733ae21eff08b36909af0320239"/>
    <w:p>
      <w:pPr>
        <w:pStyle w:val="Heading1"/>
      </w:pPr>
      <w:r>
        <w:t xml:space="preserve">Architectural Overview Report: Cross-Chain Stablecoin Payment Orchestration on Canton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#3 of four — see the suite-level view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0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M1/M4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/ external-ecosystem reference, not</w:t>
      </w:r>
      <w:r>
        <w:t xml:space="preserve"> </w:t>
      </w:r>
      <w:r>
        <w:t xml:space="preserve">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1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2">
        <w:r>
          <w:rPr>
            <w:rStyle w:val="VerbatimChar"/>
          </w:rPr>
          <w:t xml:space="preserve">../../M4_STABLECOIN_SCOPE.md</w:t>
        </w:r>
      </w:hyperlink>
      <w:r>
        <w:t xml:space="preserve">): this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 #3 (Cross-Chain Stablecoin Payment Orchestration)</w:t>
      </w:r>
      <w:r>
        <w:t xml:space="preserve">. This document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Architecture 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 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M4</w:t>
      </w:r>
      <w:r>
        <w:t xml:space="preserve"> </w:t>
      </w:r>
      <w:r>
        <w:t xml:space="preserve">(Q4 2026, end</w:t>
      </w:r>
      <w:r>
        <w:t xml:space="preserve"> </w:t>
      </w:r>
      <w:r>
        <w:t xml:space="preserve">Year 1, alongside RI 4). Companion deliverables — working reference code, demo</w:t>
      </w:r>
      <w:r>
        <w:t xml:space="preserve"> </w:t>
      </w:r>
      <w:r>
        <w:t xml:space="preserve">front-end, threat model — are</w:t>
      </w:r>
      <w:r>
        <w:t xml:space="preserve"> </w:t>
      </w:r>
      <w:r>
        <w:rPr>
          <w:b/>
          <w:bCs/>
        </w:rPr>
        <w:t xml:space="preserve">named here but delivered in M4</w:t>
      </w:r>
      <w:r>
        <w:t xml:space="preserve"> </w:t>
      </w:r>
      <w:r>
        <w:t xml:space="preserve">(MIT-licensed). Two components are</w:t>
      </w:r>
      <w:r>
        <w:t xml:space="preserve"> </w:t>
      </w:r>
      <w:r>
        <w:rPr>
          <w:b/>
          <w:bCs/>
        </w:rPr>
        <w:t xml:space="preserve">planned / external, not present in this</w:t>
      </w:r>
      <w:r>
        <w:rPr>
          <w:b/>
          <w:bCs/>
        </w:rPr>
        <w:t xml:space="preserve"> </w:t>
      </w:r>
      <w:r>
        <w:rPr>
          <w:b/>
          <w:bCs/>
        </w:rPr>
        <w:t xml:space="preserve">workspace</w:t>
      </w:r>
      <w:r>
        <w:t xml:space="preserve">: the</w:t>
      </w:r>
      <w:r>
        <w:t xml:space="preserve"> </w:t>
      </w:r>
      <w:r>
        <w:rPr>
          <w:b/>
          <w:bCs/>
        </w:rPr>
        <w:t xml:space="preserve">Standardized Messaging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[FUTURE]</w:t>
      </w:r>
      <w:r>
        <w:t xml:space="preserve">, Contracts-</w:t>
      </w:r>
      <w:r>
        <w:t xml:space="preserve"> </w:t>
      </w:r>
      <w:r>
        <w:t xml:space="preserve">Library component) and</w:t>
      </w:r>
      <w:r>
        <w:t xml:space="preserve"> </w:t>
      </w:r>
      <w:r>
        <w:rPr>
          <w:b/>
          <w:bCs/>
        </w:rPr>
        <w:t xml:space="preserve">USDCx</w:t>
      </w:r>
      <w:r>
        <w:t xml:space="preserve"> </w:t>
      </w:r>
      <w:r>
        <w:t xml:space="preserve">(external ecosystem stablecoin) — both flagged</w:t>
      </w:r>
      <w:r>
        <w:t xml:space="preserve"> </w:t>
      </w:r>
      <w:r>
        <w:t xml:space="preserve">throughout and in Open Questions. The report honors the</w:t>
      </w:r>
      <w:r>
        <w:t xml:space="preserve"> </w:t>
      </w:r>
      <w:r>
        <w:rPr>
          <w:b/>
          <w:bCs/>
        </w:rPr>
        <w:t xml:space="preserve">CIP-56 → CIP-0112 /</w:t>
      </w:r>
      <w:r>
        <w:rPr>
          <w:b/>
          <w:bCs/>
        </w:rPr>
        <w:t xml:space="preserve"> </w:t>
      </w:r>
      <w:r>
        <w:rPr>
          <w:b/>
          <w:bCs/>
        </w:rPr>
        <w:t xml:space="preserve">Token Standard V2 retarget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This Reference Implementation (RI) is an architectural blueprint for private,</w:t>
      </w:r>
      <w:r>
        <w:t xml:space="preserve"> </w:t>
      </w:r>
      <w:r>
        <w:t xml:space="preserve">atomic settlement on Canton of stablecoin payments originating on external</w:t>
      </w:r>
      <w:r>
        <w:t xml:space="preserve"> </w:t>
      </w:r>
      <w:r>
        <w:t xml:space="preserve">blockchains. It resolves the tension between cross-chain liquidity and the</w:t>
      </w:r>
      <w:r>
        <w:t xml:space="preserve"> </w:t>
      </w:r>
      <w:r>
        <w:t xml:space="preserve">privacy requirements of enterprise compliance: institutional participants can</w:t>
      </w:r>
      <w:r>
        <w:t xml:space="preserve"> </w:t>
      </w:r>
      <w:r>
        <w:t xml:space="preserve">accept an inbound asset representation (e.g. USDCx) while keeping the settlement</w:t>
      </w:r>
      <w:r>
        <w:t xml:space="preserve"> </w:t>
      </w:r>
      <w:r>
        <w:t xml:space="preserve">amount, payer/payee identities, and compliance markers projected only to</w:t>
      </w:r>
      <w:r>
        <w:t xml:space="preserve"> </w:t>
      </w:r>
      <w:r>
        <w:t xml:space="preserve">explicitly authorized parties.</w:t>
      </w:r>
    </w:p>
    <w:p>
      <w:pPr>
        <w:pStyle w:val="BodyText"/>
      </w:pPr>
      <w:r>
        <w:t xml:space="preserve">The design uses a</w:t>
      </w:r>
      <w:r>
        <w:t xml:space="preserve"> </w:t>
      </w:r>
      <w:r>
        <w:rPr>
          <w:b/>
          <w:bCs/>
        </w:rPr>
        <w:t xml:space="preserve">Standardized Messaging Gateway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(modeled as a</w:t>
      </w:r>
      <w:r>
        <w:t xml:space="preserve"> </w:t>
      </w:r>
      <w:r>
        <w:t xml:space="preserve">bounded mock) on top of the</w:t>
      </w:r>
      <w:r>
        <w:t xml:space="preserve"> </w:t>
      </w:r>
      <w:r>
        <w:rPr>
          <w:b/>
          <w:bCs/>
        </w:rPr>
        <w:t xml:space="preserve">CIP-0112 / Token Standard V2 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OpenZeppelin.Experimental.Settlement.Cip112</w:t>
      </w:r>
      <w:r>
        <w:t xml:space="preserve">).</w:t>
      </w:r>
    </w:p>
    <w:bookmarkStart w:id="13" w:name="X0f1af00606bb506cfa7dff183d7dd41cfb109a9"/>
    <w:p>
      <w:pPr>
        <w:pStyle w:val="Heading3"/>
      </w:pPr>
      <w:r>
        <w:t xml:space="preserve">Educational Framing: "How to think about building this on Canton"</w:t>
      </w:r>
    </w:p>
    <w:p>
      <w:pPr>
        <w:pStyle w:val="FirstParagraph"/>
      </w:pPr>
      <w:r>
        <w:t xml:space="preserve">On public EVM networks, a bridge mints tokens into a globally visible state</w:t>
      </w:r>
      <w:r>
        <w:t xml:space="preserve"> </w:t>
      </w:r>
      <w:r>
        <w:t xml:space="preserve">ledger any observer can trace. Canton operates on</w:t>
      </w:r>
      <w:r>
        <w:t xml:space="preserve"> </w:t>
      </w:r>
      <w:r>
        <w:rPr>
          <w:b/>
          <w:bCs/>
        </w:rPr>
        <w:t xml:space="preserve">per-party projection</w:t>
      </w:r>
      <w:r>
        <w:t xml:space="preserve">: a</w:t>
      </w:r>
      <w:r>
        <w:t xml:space="preserve"> </w:t>
      </w:r>
      <w:r>
        <w:t xml:space="preserve">contract is visible only to its signatories/observers. So the inbound message</w:t>
      </w:r>
      <w:r>
        <w:t xml:space="preserve"> </w:t>
      </w:r>
      <w:r>
        <w:t xml:space="preserve">from the gateway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mint-and-broadcast an asset in one global update.</w:t>
      </w:r>
      <w:r>
        <w:t xml:space="preserve"> </w:t>
      </w:r>
      <w:r>
        <w:t xml:space="preserve">Instead the gateway drives an isolated, recipient-targeted allocation on the</w:t>
      </w:r>
      <w:r>
        <w:t xml:space="preserve"> </w:t>
      </w:r>
      <w:r>
        <w:t xml:space="preserve">spine; because Daml-LF 2.1 is</w:t>
      </w:r>
      <w:r>
        <w:t xml:space="preserve"> </w:t>
      </w:r>
      <w:r>
        <w:rPr>
          <w:b/>
          <w:bCs/>
        </w:rPr>
        <w:t xml:space="preserve">keyless</w:t>
      </w:r>
      <w:r>
        <w:t xml:space="preserve"> </w:t>
      </w:r>
      <w:r>
        <w:t xml:space="preserve">(archive-and-recreate, not mutation),</w:t>
      </w:r>
      <w:r>
        <w:t xml:space="preserve"> </w:t>
      </w:r>
      <w:r>
        <w:t xml:space="preserve">the atomic delivery-vs-payment archives the inbound request and creates a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 </w:t>
      </w:r>
      <w:r>
        <w:t xml:space="preserve">visible only to the recipient, the relayer, and the required</w:t>
      </w:r>
      <w:r>
        <w:t xml:space="preserve"> </w:t>
      </w:r>
      <w:r>
        <w:t xml:space="preserve">compliance verifiers. Cross-chain settlement thereby inherits Canton's data</w:t>
      </w:r>
      <w:r>
        <w:t xml:space="preserve"> </w:t>
      </w:r>
      <w:r>
        <w:t xml:space="preserve">compartmentalization.</w:t>
      </w:r>
    </w:p>
    <w:bookmarkEnd w:id="13"/>
    <w:bookmarkStart w:id="14" w:name="target-users"/>
    <w:p>
      <w:pPr>
        <w:pStyle w:val="Heading3"/>
      </w:pPr>
      <w:r>
        <w:t xml:space="preserve">Target Users</w:t>
      </w:r>
    </w:p>
    <w:p>
      <w:pPr>
        <w:pStyle w:val="FirstParagraph"/>
      </w:pPr>
      <w:r>
        <w:t xml:space="preserve">Regulated financial institutions, multinational corporate treasuries, and</w:t>
      </w:r>
      <w:r>
        <w:t xml:space="preserve"> </w:t>
      </w:r>
      <w:r>
        <w:t xml:space="preserve">compliance-first DeFi platforms on Canton that need to accept inbound liquidity</w:t>
      </w:r>
      <w:r>
        <w:t xml:space="preserve"> </w:t>
      </w:r>
      <w:r>
        <w:t xml:space="preserve">from public networks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exposing internal treasury flows, payment</w:t>
      </w:r>
      <w:r>
        <w:t xml:space="preserve"> </w:t>
      </w:r>
      <w:r>
        <w:t xml:space="preserve">detail, or counterparty relationships to competitors or on-chain analytics.</w:t>
      </w:r>
    </w:p>
    <w:bookmarkEnd w:id="14"/>
    <w:bookmarkStart w:id="15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The bias favors simplicity and a demonstrably correct core; everything else is</w:t>
      </w:r>
      <w:r>
        <w:t xml:space="preserve"> </w:t>
      </w:r>
      <w:r>
        <w:t xml:space="preserve">an explicit extension point or out-of-scope.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In-Scope</w:t>
            </w:r>
          </w:p>
        </w:tc>
        <w:tc>
          <w:tcPr/>
          <w:p>
            <w:pPr>
              <w:pStyle w:val="Compact"/>
            </w:pPr>
            <w:r>
              <w:t xml:space="preserve">Out-of-Scope (Excluded)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Settlement</w:t>
            </w:r>
          </w:p>
        </w:tc>
        <w:tc>
          <w:tcPr/>
          <w:p>
            <w:pPr>
              <w:pStyle w:val="Compact"/>
            </w:pPr>
            <w:r>
              <w:t xml:space="preserve">Private on-Canton settlement of inbound stablecoin payments via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 </w:t>
            </w:r>
            <w:r>
              <w:t xml:space="preserve">(atomic DvP).</w:t>
            </w:r>
          </w:p>
        </w:tc>
        <w:tc>
          <w:tcPr/>
          <w:p>
            <w:pPr>
              <w:pStyle w:val="Compact"/>
            </w:pPr>
            <w:r>
              <w:t xml:space="preserve">Custom settlement primitives, fallback matching engines, fragmented parallel liquidity pools.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Cross-Chain Bridge</w:t>
            </w:r>
          </w:p>
        </w:tc>
        <w:tc>
          <w:tcPr/>
          <w:p>
            <w:pPr>
              <w:pStyle w:val="Compact"/>
            </w:pPr>
            <w:r>
              <w:t xml:space="preserve">An inbound/outbound bridge</w:t>
            </w:r>
            <w:r>
              <w:t xml:space="preserve"> </w:t>
            </w:r>
            <w:r>
              <w:rPr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(the Standardized Messaging Gateway) as a</w:t>
            </w:r>
            <w:r>
              <w:t xml:space="preserve"> </w:t>
            </w:r>
            <w:r>
              <w:rPr>
                <w:b/>
                <w:bCs/>
              </w:rPr>
              <w:t xml:space="preserve">bounded, verifiable mock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Production bridge/relayer nodes, external oracle infra, validator networks, cryptographic light-client proofs.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Control</w:t>
            </w:r>
          </w:p>
        </w:tc>
        <w:tc>
          <w:tcPr/>
          <w:p>
            <w:pPr>
              <w:pStyle w:val="Compact"/>
            </w:pPr>
            <w:r>
              <w:t xml:space="preserve">D1 fail-closed verification on every leg (</w:t>
            </w:r>
            <w:r>
              <w:rPr>
                <w:rStyle w:val="VerbatimChar"/>
              </w:rPr>
              <w:t xml:space="preserve">CredentialGatedActionRequest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); D2 lock-and-sweep via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Off-ledger caching of compliance status, probabilistic risk scoring, heuristic filtering.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Framework</w:t>
            </w:r>
          </w:p>
        </w:tc>
        <w:tc>
          <w:tcPr/>
          <w:p>
            <w:pPr>
              <w:pStyle w:val="Compact"/>
            </w:pPr>
            <w:r>
              <w:t xml:space="preserve">Single-domain v1, issuer-held KYC, deterministic claims.</w:t>
            </w:r>
          </w:p>
        </w:tc>
        <w:tc>
          <w:tcPr/>
          <w:p>
            <w:pPr>
              <w:pStyle w:val="Compact"/>
            </w:pPr>
            <w:r>
              <w:t xml:space="preserve">Cross-domain identity resolution (ONCHAINID / ERC-3643 / Chainlink CCID) — deferred, SCU-forward-compatible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Issuance</w:t>
            </w:r>
          </w:p>
        </w:tc>
        <w:tc>
          <w:tcPr/>
          <w:p>
            <w:pPr>
              <w:pStyle w:val="Compact"/>
            </w:pPr>
            <w:r>
              <w:t xml:space="preserve">The integration</w:t>
            </w:r>
            <w:r>
              <w:t xml:space="preserve"> </w:t>
            </w:r>
            <w:r>
              <w:rPr>
                <w:b/>
                <w:bCs/>
              </w:rPr>
              <w:t xml:space="preserve">shape</w:t>
            </w:r>
            <w:r>
              <w:t xml:space="preserve"> </w:t>
            </w:r>
            <w:r>
              <w:t xml:space="preserve">for an existing Canton stablecoin (USDCx) as the settled instrument.</w:t>
            </w:r>
          </w:p>
        </w:tc>
        <w:tc>
          <w:tcPr/>
          <w:p>
            <w:pPr>
              <w:pStyle w:val="Compact"/>
            </w:pPr>
            <w:r>
              <w:t xml:space="preserve">The stablecoin issuance / peg / CDP mechanism itself.</w:t>
            </w:r>
          </w:p>
        </w:tc>
      </w:tr>
    </w:tbl>
    <w:p>
      <w:pPr>
        <w:pStyle w:val="BodyText"/>
      </w:pPr>
      <w:r>
        <w:t xml:space="preserve">Narrowing scope to the standardized interface boundary means a production</w:t>
      </w:r>
      <w:r>
        <w:t xml:space="preserve"> </w:t>
      </w:r>
      <w:r>
        <w:t xml:space="preserve">gateway can be swapped in later without modifying the settlement spine or the</w:t>
      </w:r>
      <w:r>
        <w:t xml:space="preserve"> </w:t>
      </w:r>
      <w:r>
        <w:t xml:space="preserve">compliance logic.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09f531ea831262c8823f074014ceb66eca72b14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A modular, multi-party topology isolates external messaging, compliance</w:t>
      </w:r>
      <w:r>
        <w:t xml:space="preserve"> </w:t>
      </w:r>
      <w:r>
        <w:t xml:space="preserve">verification, asset allocation, and atomic settlement.</w:t>
      </w:r>
      <w:r>
        <w:t xml:space="preserve"> </w:t>
      </w:r>
      <w:r>
        <w:rPr>
          <w:rStyle w:val="VerbatimChar"/>
        </w:rPr>
        <w:t xml:space="preserve">roleId</w:t>
      </w:r>
      <w:r>
        <w:t xml:space="preserve"> </w:t>
      </w:r>
      <w:r>
        <w:t xml:space="preserve">wrappers manage</w:t>
      </w:r>
      <w:r>
        <w:t xml:space="preserve"> </w:t>
      </w:r>
      <w:r>
        <w:t xml:space="preserve">node boundaries and capability grants so no participant can unilaterally force a</w:t>
      </w:r>
      <w:r>
        <w:t xml:space="preserve"> </w:t>
      </w:r>
      <w:r>
        <w:t xml:space="preserve">state transition without the required co-authorization.</w:t>
      </w:r>
    </w:p>
    <w:p>
      <w:pPr>
        <w:pStyle w:val="BodyText"/>
      </w:pPr>
      <w:r>
        <w:t xml:space="preserve">When a cross-chain locking event occurs externally, the gateway (holding a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 </w:t>
      </w:r>
      <w:r>
        <w:t xml:space="preserve">as relayer) emits an</w:t>
      </w:r>
      <w:r>
        <w:t xml:space="preserve"> </w:t>
      </w:r>
      <w:r>
        <w:rPr>
          <w:rStyle w:val="VerbatimChar"/>
        </w:rPr>
        <w:t xml:space="preserve">InboundMessage</w:t>
      </w:r>
      <w:r>
        <w:t xml:space="preserve"> </w:t>
      </w:r>
      <w:r>
        <w:t xml:space="preserve">on Canton. Rather than a</w:t>
      </w:r>
      <w:r>
        <w:t xml:space="preserve"> </w:t>
      </w:r>
      <w:r>
        <w:t xml:space="preserve">direct transfer — which would violate Canton's co-authorization model — the</w:t>
      </w:r>
      <w:r>
        <w:t xml:space="preserve"> </w:t>
      </w:r>
      <w:r>
        <w:t xml:space="preserve">relayer drives the spine: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 </w:t>
      </w:r>
      <w:r>
        <w:t xml:space="preserve">→</w:t>
      </w:r>
      <w:r>
        <w:t xml:space="preserve"> </w:t>
      </w:r>
      <w:r>
        <w:t xml:space="preserve">(recipient accept)</w:t>
      </w:r>
      <w:r>
        <w:t xml:space="preserve"> </w:t>
      </w:r>
      <w:r>
        <w:rPr>
          <w:rStyle w:val="VerbatimChar"/>
        </w:rPr>
        <w:t xml:space="preserve">AllocationInstruction_Accept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 plus a</w:t>
      </w:r>
      <w:r>
        <w:t xml:space="preserve"> </w:t>
      </w:r>
      <w:r>
        <w:t xml:space="preserve">recipient-targeted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.</w:t>
      </w:r>
    </w:p>
    <w:bookmarkStart w:id="17" w:name="party-and-role-model"/>
    <w:p>
      <w:pPr>
        <w:pStyle w:val="Heading3"/>
      </w:pPr>
      <w:r>
        <w:t xml:space="preserve">Party and Role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Operational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Responsibilities / trust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BridgeRelayer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Relayer</w:t>
            </w:r>
          </w:p>
        </w:tc>
        <w:tc>
          <w:tcPr/>
          <w:p>
            <w:pPr>
              <w:pStyle w:val="Compact"/>
            </w:pPr>
            <w:r>
              <w:t xml:space="preserve">Monitors the external chain; submits</w:t>
            </w:r>
            <w:r>
              <w:t xml:space="preserve"> </w:t>
            </w:r>
            <w:r>
              <w:rPr>
                <w:rStyle w:val="VerbatimChar"/>
              </w:rPr>
              <w:t xml:space="preserve">InboundMessage</w:t>
            </w:r>
            <w:r>
              <w:t xml:space="preserve">; operates the gateway mock; acts as settlement executor.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Maintains the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issues the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for D1 attestation.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Seizer</w:t>
            </w:r>
          </w:p>
        </w:tc>
        <w:tc>
          <w:tcPr/>
          <w:p>
            <w:pPr>
              <w:pStyle w:val="Compact"/>
            </w:pPr>
            <w:r>
              <w:t xml:space="preserve">Holds the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 </w:t>
            </w:r>
            <w:r>
              <w:t xml:space="preserve">for D2 lock-and-sweep to a preset destination under mandate.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StablecoinAdmin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Single-admin authority for the settled asset (USDCx); oversees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Implicit (end-user)</w:t>
            </w:r>
          </w:p>
        </w:tc>
        <w:tc>
          <w:tcPr/>
          <w:p>
            <w:pPr>
              <w:pStyle w:val="Compact"/>
            </w:pPr>
            <w:r>
              <w:t xml:space="preserve">Treasury receiving funds; may use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 </w:t>
            </w:r>
            <w:r>
              <w:t xml:space="preserve">to accept compliance-gated inflows without a live signature.</w:t>
            </w:r>
          </w:p>
        </w:tc>
      </w:tr>
    </w:tbl>
    <w:bookmarkEnd w:id="17"/>
    <w:bookmarkStart w:id="18" w:name="trust-and-topology"/>
    <w:p>
      <w:pPr>
        <w:pStyle w:val="Heading3"/>
      </w:pPr>
      <w:r>
        <w:t xml:space="preserve">Trust and Topology</w:t>
      </w:r>
    </w:p>
    <w:p>
      <w:pPr>
        <w:pStyle w:val="FirstParagraph"/>
      </w:pPr>
      <w:r>
        <w:t xml:space="preserve">Topology is defined per contract by which nodes participate. Because Daml uses</w:t>
      </w:r>
      <w:r>
        <w:t xml:space="preserve"> </w:t>
      </w:r>
      <w:r>
        <w:t xml:space="preserve">per-party projection, the settlement is fractured into bilateral requests: the</w:t>
      </w:r>
      <w:r>
        <w:t xml:space="preserve"> </w:t>
      </w:r>
      <w:r>
        <w:t xml:space="preserve">BridgeRelayer and Recipient are the only initial observers of the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; the StablecoinAdmin and Custodian stay blind to intent</w:t>
      </w:r>
      <w:r>
        <w:t xml:space="preserve"> </w:t>
      </w:r>
      <w:r>
        <w:t xml:space="preserve">until needed. At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, the StablecoinAdmin's node is</w:t>
      </w:r>
      <w:r>
        <w:t xml:space="preserve"> </w:t>
      </w:r>
      <w:r>
        <w:t xml:space="preserve">enlisted only to validate fund conservation and run the</w:t>
      </w:r>
      <w:r>
        <w:t xml:space="preserve"> </w:t>
      </w:r>
      <w:r>
        <w:rPr>
          <w:rStyle w:val="VerbatimChar"/>
        </w:rPr>
        <w:t xml:space="preserve">SimpleTokenRules</w:t>
      </w:r>
      <w:r>
        <w:t xml:space="preserve"> </w:t>
      </w:r>
      <w:r>
        <w:t xml:space="preserve">3-way dispatch.</w:t>
      </w:r>
    </w:p>
    <w:p>
      <w:pPr>
        <w:pStyle w:val="BodyText"/>
      </w:pPr>
      <w:r>
        <w:t xml:space="preserve">The topology also provides economic security: a committed 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RequestedAllocation.committed = True</w:t>
      </w:r>
      <w:r>
        <w:t xml:space="preserve">, set by the relayer) locks the bridging</w:t>
      </w:r>
      <w:r>
        <w:t xml:space="preserve"> </w:t>
      </w:r>
      <w:r>
        <w:t xml:space="preserve">funds until the settlement deadline, so the recipient has cryptographic</w:t>
      </w:r>
      <w:r>
        <w:t xml:space="preserve"> </w:t>
      </w:r>
      <w:r>
        <w:t xml:space="preserve">certainty the liquidity is reserved and cannot be double-spent or arbitrarily</w:t>
      </w:r>
      <w:r>
        <w:t xml:space="preserve"> </w:t>
      </w:r>
      <w:r>
        <w:t xml:space="preserve">withdrawn before the DvP concludes.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768877ac61802d848295b7cce07ef9b548a1273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A deterministic sequence of keyless Daml-LF 2.1 state transitions on the</w:t>
      </w:r>
      <w:r>
        <w:t xml:space="preserve"> </w:t>
      </w:r>
      <w:r>
        <w:t xml:space="preserve">CIP-0112 spine.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Inbound message.</w:t>
      </w:r>
      <w:r>
        <w:t xml:space="preserve"> </w:t>
      </w:r>
      <w:r>
        <w:t xml:space="preserve">The external chain finalizes a locked deposit. The</w:t>
      </w:r>
      <w:r>
        <w:t xml:space="preserve"> </w:t>
      </w:r>
      <w:r>
        <w:t xml:space="preserve">gateway (relayer role) creates an</w:t>
      </w:r>
      <w:r>
        <w:t xml:space="preserve"> </w:t>
      </w:r>
      <w:r>
        <w:rPr>
          <w:rStyle w:val="VerbatimChar"/>
        </w:rPr>
        <w:t xml:space="preserve">InboundMessage</w:t>
      </w:r>
      <w:r>
        <w:t xml:space="preserve"> </w:t>
      </w:r>
      <w:r>
        <w:t xml:space="preserve">carrying the hashed</w:t>
      </w:r>
      <w:r>
        <w:t xml:space="preserve"> </w:t>
      </w:r>
      <w:r>
        <w:t xml:space="preserve">payload, external sender id, and Canton recipient. Keyless archive-and-recreate</w:t>
      </w:r>
      <w:r>
        <w:t xml:space="preserve"> </w:t>
      </w:r>
      <w:r>
        <w:t xml:space="preserve">makes it a one-time consumed artifact (replay protection).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Allocate + D1 check.</w:t>
      </w:r>
      <w:r>
        <w:t xml:space="preserve"> </w:t>
      </w:r>
      <w:r>
        <w:t xml:space="preserve">The relayer drives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 </w:t>
      </w:r>
      <w:r>
        <w:t xml:space="preserve">toward the recipient. Before</w:t>
      </w:r>
      <w:r>
        <w:t xml:space="preserve"> </w:t>
      </w:r>
      <w:r>
        <w:t xml:space="preserve">it can target the recipient it must pass the</w:t>
      </w:r>
      <w:r>
        <w:t xml:space="preserve"> </w:t>
      </w:r>
      <w:r>
        <w:rPr>
          <w:b/>
          <w:bCs/>
        </w:rPr>
        <w:t xml:space="preserve">D1 compliance check</w:t>
      </w:r>
      <w:r>
        <w:t xml:space="preserve">. The RI</w:t>
      </w:r>
      <w:r>
        <w:t xml:space="preserve"> </w:t>
      </w:r>
      <w:r>
        <w:t xml:space="preserve">selects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 attestation) over Shape A (off-ledger gate):</w:t>
      </w:r>
      <w:r>
        <w:t xml:space="preserve"> </w:t>
      </w:r>
      <w:r>
        <w:t xml:space="preserve">off-ledger gates add async caching vulnerabilities and break atomic</w:t>
      </w:r>
      <w:r>
        <w:t xml:space="preserve"> </w:t>
      </w:r>
      <w:r>
        <w:t xml:space="preserve">composability within one Daml transaction. The on-ledger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requires referencing a valid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 </w:t>
      </w:r>
      <w:r>
        <w:t xml:space="preserve">signed by a party in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. Without a valid, unexpired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, the hook fails</w:t>
      </w:r>
      <w:r>
        <w:t xml:space="preserve"> </w:t>
      </w:r>
      <w:r>
        <w:t xml:space="preserve">closed, node-applied — full rollback.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Recipient co-authorization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TransferPreapproval</w:t>
      </w:r>
      <w:r>
        <w:rPr>
          <w:b/>
          <w:bCs/>
        </w:rPr>
        <w:t xml:space="preserve">.</w:t>
      </w:r>
      <w:r>
        <w:t xml:space="preserve"> </w:t>
      </w:r>
      <w:r>
        <w:t xml:space="preserve">A recipient cannot</w:t>
      </w:r>
      <w:r>
        <w:t xml:space="preserve"> </w:t>
      </w:r>
      <w:r>
        <w:t xml:space="preserve">be bound unilaterally; a new signatory must co-authorize. For an offline</w:t>
      </w:r>
      <w:r>
        <w:t xml:space="preserve"> </w:t>
      </w:r>
      <w:r>
        <w:t xml:space="preserve">corporate treasury that cannot provide a live interactive signature, the</w:t>
      </w:r>
      <w:r>
        <w:t xml:space="preserve"> </w:t>
      </w:r>
      <w:r>
        <w:t xml:space="preserve">recipient's wallet pre-establishes a</w:t>
      </w:r>
      <w:r>
        <w:t xml:space="preserve"> </w:t>
      </w:r>
      <w:r>
        <w:rPr>
          <w:rStyle w:val="VerbatimChar"/>
        </w:rPr>
        <w:t xml:space="preserve">TransferPreapproval</w:t>
      </w:r>
      <w:r>
        <w:t xml:space="preserve"> </w:t>
      </w:r>
      <w:r>
        <w:t xml:space="preserve">for the USDCx</w:t>
      </w:r>
      <w:r>
        <w:t xml:space="preserve"> </w:t>
      </w:r>
      <w:r>
        <w:t xml:space="preserve">instrument. The relayer leverages it to complete the recipient's required</w:t>
      </w:r>
      <w:r>
        <w:t xml:space="preserve"> </w:t>
      </w:r>
      <w:r>
        <w:t xml:space="preserve">accept in a single atomic submission, converting the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into a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.</w:t>
      </w:r>
      <w:r>
        <w:t xml:space="preserve"> </w:t>
      </w:r>
      <w:r>
        <w:rPr>
          <w:i/>
          <w:iCs/>
        </w:rPr>
        <w:t xml:space="preserve">(This delegated-accept pattern is what makes</w:t>
      </w:r>
      <w:r>
        <w:rPr>
          <w:i/>
          <w:iCs/>
        </w:rPr>
        <w:t xml:space="preserve"> </w:t>
      </w:r>
      <w:r>
        <w:rPr>
          <w:i/>
          <w:iCs/>
        </w:rPr>
        <w:t xml:space="preserve">the flow work for cold/offline recipients; it is not a workaround for any</w:t>
      </w:r>
      <w:r>
        <w:rPr>
          <w:i/>
          <w:iCs/>
        </w:rPr>
        <w:t xml:space="preserve"> </w:t>
      </w:r>
      <w:r>
        <w:rPr>
          <w:i/>
          <w:iCs/>
        </w:rPr>
        <w:t xml:space="preserve">fixed transaction-timeout.)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Atomic DvP.</w:t>
      </w:r>
      <w:r>
        <w:t xml:space="preserve"> </w:t>
      </w:r>
      <w:r>
        <w:t xml:space="preserve">The relayer packages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into the single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entrypoint. The factory enforces funding</w:t>
      </w:r>
      <w:r>
        <w:t xml:space="preserve"> </w:t>
      </w:r>
      <w:r>
        <w:t xml:space="preserve">conservation via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and verifies inputs match the required</w:t>
      </w:r>
      <w:r>
        <w:t xml:space="preserve"> </w:t>
      </w:r>
      <w:r>
        <w:t xml:space="preserve">transfer legs; remaining balance returns as a single new holding (reducing</w:t>
      </w:r>
      <w:r>
        <w:t xml:space="preserve"> </w:t>
      </w:r>
      <w:r>
        <w:t xml:space="preserve">fragmentation). On success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is archived and a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SimpleHolding</w:t>
      </w:r>
      <w:r>
        <w:t xml:space="preserve"> </w:t>
      </w:r>
      <w:r>
        <w:t xml:space="preserve">are created for the recipient only.</w:t>
      </w:r>
    </w:p>
    <w:bookmarkStart w:id="20" w:name="d1d4-attachment"/>
    <w:p>
      <w:pPr>
        <w:pStyle w:val="Heading3"/>
      </w:pPr>
      <w:r>
        <w:t xml:space="preserve">D1–D4 Attachment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D1 — compliance.</w:t>
      </w:r>
      <w:r>
        <w:t xml:space="preserve"> </w:t>
      </w:r>
      <w:r>
        <w:t xml:space="preserve">Node-applied, fail-closed, every leg; Shape B as above.</w:t>
      </w:r>
      <w:r>
        <w:t xml:space="preserve"> </w:t>
      </w:r>
      <w:r>
        <w:rPr>
          <w:i/>
          <w:iCs/>
        </w:rPr>
        <w:t xml:space="preserve">(Open, non-blocking: contract-oblivious vs on-ledger attestation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 — seizure (lock-and-sweep).</w:t>
      </w:r>
      <w:r>
        <w:t xml:space="preserve"> </w:t>
      </w:r>
      <w:r>
        <w:t xml:space="preserve">Under mandate, the Custodian uses the</w:t>
      </w:r>
      <w:r>
        <w:t xml:space="preserve"> </w:t>
      </w:r>
      <w:r>
        <w:t xml:space="preserve">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to sweep a targeted holding to an admin-preset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. For in-flight allocations this is the spine's</w:t>
      </w:r>
      <w:r>
        <w:t xml:space="preserve"> 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; for</w:t>
      </w:r>
      <w:r>
        <w:t xml:space="preserve"> </w:t>
      </w:r>
      <w:r>
        <w:t xml:space="preserve">settled holdings the forced-burn-to-custodian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LockedSimpleHolding_ForcedBurn</w:t>
      </w:r>
      <w:r>
        <w:t xml:space="preserve"> </w:t>
      </w:r>
      <w:r>
        <w:t xml:space="preserve">evidence).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burn the asset and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return it to the sender. Ordinary transfer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do return to</w:t>
      </w:r>
      <w:r>
        <w:t xml:space="preserve"> </w:t>
      </w:r>
      <w:r>
        <w:t xml:space="preserve">sender.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D3 — identity.</w:t>
      </w:r>
      <w:r>
        <w:t xml:space="preserve"> </w:t>
      </w:r>
      <w:r>
        <w:t xml:space="preserve">Single-domain v1, issuer-held KYC; cross-domain deferred but</w:t>
      </w:r>
      <w:r>
        <w:t xml:space="preserve"> </w:t>
      </w:r>
      <w:r>
        <w:t xml:space="preserve">forward-compatible via additive SCU.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D4 — authority.</w:t>
      </w:r>
      <w:r>
        <w:t xml:space="preserve"> </w:t>
      </w:r>
      <w:r>
        <w:t xml:space="preserve">Single-admin capability for M1 (multi-sig → M3).</w:t>
      </w:r>
    </w:p>
    <w:bookmarkEnd w:id="20"/>
    <w:bookmarkStart w:id="21" w:name="the-scu-extension-story"/>
    <w:p>
      <w:pPr>
        <w:pStyle w:val="Heading3"/>
      </w:pPr>
      <w:r>
        <w:t xml:space="preserve">The SCU Extension Story</w:t>
      </w:r>
    </w:p>
    <w:p>
      <w:pPr>
        <w:pStyle w:val="FirstParagraph"/>
      </w:pPr>
      <w:r>
        <w:t xml:space="preserve">Never mutate an existing choice's args to require a new field; extend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types, and new choices. New interfaces are added by new</w:t>
      </w:r>
      <w:r>
        <w:t xml:space="preserve"> </w:t>
      </w:r>
      <w:r>
        <w:t xml:space="preserve">templates/choices implementing them, not by retroactive interface instances — a</w:t>
      </w:r>
      <w:r>
        <w:t xml:space="preserve"> </w:t>
      </w:r>
      <w:r>
        <w:t xml:space="preserve">mechanism Daml 3.x removed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because it broke clean upgrade paths.</w:t>
      </w:r>
      <w:r>
        <w:t xml:space="preserve"> </w:t>
      </w:r>
      <w:r>
        <w:t xml:space="preserve">Today the settlement validates a single-domain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. To add cross-domain identity (D3) later,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choice (e.g.</w:t>
      </w:r>
      <w:r>
        <w:t xml:space="preserve"> </w:t>
      </w:r>
      <w:r>
        <w:rPr>
          <w:rStyle w:val="VerbatimChar"/>
        </w:rPr>
        <w:t xml:space="preserve">…SettleBatchWithCrossDomainProof</w:t>
      </w:r>
      <w:r>
        <w:t xml:space="preserve">) is appended that accepts an</w:t>
      </w:r>
      <w:r>
        <w:t xml:space="preserve"> </w:t>
      </w:r>
      <w:r>
        <w:rPr>
          <w:rStyle w:val="VerbatimChar"/>
        </w:rPr>
        <w:t xml:space="preserve">Optional CrossDomainProof</w:t>
      </w:r>
      <w:r>
        <w:t xml:space="preserve">; existing relayers calling the legacy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keep working. This is the additive path proven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a975f165a8f4846d4f55a69ab47eeb91102f08e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Names map to real workspace components; RI-level modules (the gateway and</w:t>
      </w:r>
      <w:r>
        <w:t xml:space="preserve"> </w:t>
      </w:r>
      <w:r>
        <w:t xml:space="preserve">orchestrator) 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. Import paths use the real module names:</w:t>
      </w:r>
      <w:r>
        <w:t xml:space="preserve"> </w:t>
      </w:r>
      <w:r>
        <w:rPr>
          <w:rStyle w:val="VerbatimChar"/>
        </w:rPr>
        <w:t xml:space="preserve">OpenZeppelin.AccessControl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canton-token-template</w:t>
      </w:r>
      <w:r>
        <w:t xml:space="preserve"> </w:t>
      </w:r>
      <w:r>
        <w:rPr>
          <w:rStyle w:val="VerbatimChar"/>
        </w:rPr>
        <w:t xml:space="preserve">SimpleToken.*</w:t>
      </w:r>
      <w:r>
        <w:t xml:space="preserve">;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/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Shape-B types (not zk-credential-gateway).</w:t>
      </w:r>
    </w:p>
    <w:bookmarkStart w:id="23" w:name="Xa0b9f5c6bba26d49288db735908cede0ae83a66"/>
    <w:p>
      <w:pPr>
        <w:pStyle w:val="Heading3"/>
      </w:pPr>
      <w:r>
        <w:t xml:space="preserve">4.1 Standardized Messaging Gateway (bounded mock)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CrossChain.Gateway where</w:t>
      </w:r>
      <w:r>
        <w:br/>
      </w:r>
      <w:r>
        <w:br/>
      </w:r>
      <w:r>
        <w:rPr>
          <w:rStyle w:val="NormalTok"/>
        </w:rPr>
        <w:t xml:space="preserve">import OpenZeppelin.AccessControl (RoleGrant, requireRole)</w:t>
      </w:r>
      <w:r>
        <w:br/>
      </w:r>
      <w:r>
        <w:rPr>
          <w:rStyle w:val="NormalTok"/>
        </w:rPr>
        <w:t xml:space="preserve">import OpenZeppelin.Experimental.Settlement.Cip112 (SettlementFactory)</w:t>
      </w:r>
      <w:r>
        <w:br/>
      </w:r>
      <w:r>
        <w:rPr>
          <w:rStyle w:val="NormalTok"/>
        </w:rPr>
        <w:t xml:space="preserve">import ZkCredentialGateway.GatedAction (CredentialGatedActionRequest)</w:t>
      </w:r>
      <w:r>
        <w:br/>
      </w:r>
      <w:r>
        <w:rPr>
          <w:rStyle w:val="NormalTok"/>
        </w:rPr>
        <w:t xml:space="preserve">-- KycClaim / TrustedIssuerRegistry: canton-specs identity-hook Shape-B</w:t>
      </w:r>
      <w:r>
        <w:br/>
      </w:r>
      <w:r>
        <w:rPr>
          <w:rStyle w:val="NormalTok"/>
        </w:rPr>
        <w:t xml:space="preserve">import IdentityHook.ShapeB (KycClaim, TrustedIssuerRegistry)</w:t>
      </w:r>
      <w:r>
        <w:br/>
      </w:r>
      <w:r>
        <w:br/>
      </w:r>
      <w:r>
        <w:rPr>
          <w:rStyle w:val="NormalTok"/>
        </w:rPr>
        <w:t xml:space="preserve">data GatewayRole = Relayer | Seizer deriving (Eq, Show)</w:t>
      </w:r>
      <w:r>
        <w:br/>
      </w:r>
      <w:r>
        <w:br/>
      </w:r>
      <w:r>
        <w:rPr>
          <w:rStyle w:val="NormalTok"/>
        </w:rPr>
        <w:t xml:space="preserve">roleId : GatewayRole -&gt; Text</w:t>
      </w:r>
      <w:r>
        <w:br/>
      </w:r>
      <w:r>
        <w:rPr>
          <w:rStyle w:val="NormalTok"/>
        </w:rPr>
        <w:t xml:space="preserve">roleId Relayer = "BRIDGE_RELAYER_ROLE"</w:t>
      </w:r>
      <w:r>
        <w:br/>
      </w:r>
      <w:r>
        <w:rPr>
          <w:rStyle w:val="NormalTok"/>
        </w:rPr>
        <w:t xml:space="preserve">roleId Seizer  = "CUSTODIAN_SEIZER_ROLE"</w:t>
      </w:r>
      <w:r>
        <w:br/>
      </w:r>
      <w:r>
        <w:br/>
      </w:r>
      <w:r>
        <w:rPr>
          <w:rStyle w:val="NormalTok"/>
        </w:rPr>
        <w:t xml:space="preserve">-- [FUTURE] bounded mock of the planned Contracts-Library gateway.</w:t>
      </w:r>
      <w:r>
        <w:br/>
      </w:r>
      <w:r>
        <w:rPr>
          <w:rStyle w:val="NormalTok"/>
        </w:rPr>
        <w:t xml:space="preserve">template StandardizedMessagingGateway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registry : ContractId TrustedIssuerRegistry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admin, operator</w:t>
      </w:r>
      <w:r>
        <w:br/>
      </w:r>
      <w:r>
        <w:br/>
      </w:r>
      <w:r>
        <w:rPr>
          <w:rStyle w:val="NormalTok"/>
        </w:rPr>
        <w:t xml:space="preserve">    nonconsuming choice Gateway_ProcessInbound : ContractId AllocationInstruction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relayerGrant : ContractId RoleGrant</w:t>
      </w:r>
      <w:r>
        <w:br/>
      </w:r>
      <w:r>
        <w:rPr>
          <w:rStyle w:val="NormalTok"/>
        </w:rPr>
        <w:t xml:space="preserve">        inboundAmount : Decimal</w:t>
      </w:r>
      <w:r>
        <w:br/>
      </w:r>
      <w:r>
        <w:rPr>
          <w:rStyle w:val="NormalTok"/>
        </w:rPr>
        <w:t xml:space="preserve">        recipient : Party</w:t>
      </w:r>
      <w:r>
        <w:br/>
      </w:r>
      <w:r>
        <w:rPr>
          <w:rStyle w:val="NormalTok"/>
        </w:rPr>
        <w:t xml:space="preserve">        kycClaim : ContractId KycClaim</w:t>
      </w:r>
      <w:r>
        <w:br/>
      </w:r>
      <w:r>
        <w:rPr>
          <w:rStyle w:val="NormalTok"/>
        </w:rPr>
        <w:t xml:space="preserve">        settlementFactory : ContractId SettlementFactory</w:t>
      </w:r>
      <w:r>
        <w:br/>
      </w:r>
      <w:r>
        <w:rPr>
          <w:rStyle w:val="NormalTok"/>
        </w:rPr>
        <w:t xml:space="preserve">      controller operator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-- 1. Authority: validate the relayer grant against the AL-7 primitive.</w:t>
      </w:r>
      <w:r>
        <w:br/>
      </w:r>
      <w:r>
        <w:rPr>
          <w:rStyle w:val="NormalTok"/>
        </w:rPr>
        <w:t xml:space="preserve">        g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relayerGrant</w:t>
      </w:r>
      <w:r>
        <w:br/>
      </w:r>
      <w:r>
        <w:rPr>
          <w:rStyle w:val="NormalTok"/>
        </w:rPr>
        <w:t xml:space="preserve">        requireRole operator (roleId Relayer) admin g</w:t>
      </w:r>
      <w:r>
        <w:br/>
      </w:r>
      <w:r>
        <w:br/>
      </w:r>
      <w:r>
        <w:rPr>
          <w:rStyle w:val="NormalTok"/>
        </w:rPr>
        <w:t xml:space="preserve">        -- 2. D1 (Shape B, fail-closed): the KycClaim's subjectParty must match</w:t>
      </w:r>
      <w:r>
        <w:br/>
      </w:r>
      <w:r>
        <w:rPr>
          <w:rStyle w:val="NormalTok"/>
        </w:rPr>
        <w:t xml:space="preserve">        --    the recipient; verified node-applied, no off-ledger oracle.</w:t>
      </w:r>
      <w:r>
        <w:br/>
      </w:r>
      <w:r>
        <w:rPr>
          <w:rStyle w:val="NormalTok"/>
        </w:rPr>
        <w:t xml:space="preserve">        claim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kycClaim</w:t>
      </w:r>
      <w:r>
        <w:br/>
      </w:r>
      <w:r>
        <w:rPr>
          <w:rStyle w:val="NormalTok"/>
        </w:rPr>
        <w:t xml:space="preserve">        assertMsg "D1: recipient identity mismatch" (claim.subjectParty == recipient)</w:t>
      </w:r>
      <w:r>
        <w:br/>
      </w:r>
      <w:r>
        <w:br/>
      </w:r>
      <w:r>
        <w:rPr>
          <w:rStyle w:val="NormalTok"/>
        </w:rPr>
        <w:t xml:space="preserve">        -- 3. Drive the spine: create the (committed) allocation instruction.</w:t>
      </w:r>
      <w:r>
        <w:br/>
      </w:r>
      <w:r>
        <w:rPr>
          <w:rStyle w:val="NormalTok"/>
        </w:rPr>
        <w:t xml:space="preserve">        exercise settlementFactory SettlementFactory_CreateAllocationInstruction with ..</w:t>
      </w:r>
    </w:p>
    <w:bookmarkEnd w:id="23"/>
    <w:bookmarkStart w:id="24" w:name="Xb5eb89965db591a082d79596a253adfb1d8123f"/>
    <w:p>
      <w:pPr>
        <w:pStyle w:val="Heading3"/>
      </w:pPr>
      <w:r>
        <w:t xml:space="preserve">4.2 Inbound DvP via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+ delegated accept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CrossChain.Orchestrator where</w:t>
      </w:r>
      <w:r>
        <w:br/>
      </w:r>
      <w:r>
        <w:br/>
      </w:r>
      <w:r>
        <w:rPr>
          <w:rStyle w:val="NormalTok"/>
        </w:rPr>
        <w:t xml:space="preserve">import OpenZeppelin.Experimental.Settlement.Cip112</w:t>
      </w:r>
      <w:r>
        <w:br/>
      </w:r>
      <w:r>
        <w:rPr>
          <w:rStyle w:val="NormalTok"/>
        </w:rPr>
        <w:t xml:space="preserve">-- TransferPreapproval is canton-token-template (SimpleToken.Preapproval)</w:t>
      </w:r>
      <w:r>
        <w:br/>
      </w:r>
      <w:r>
        <w:rPr>
          <w:rStyle w:val="NormalTok"/>
        </w:rPr>
        <w:t xml:space="preserve">import SimpleToken.Preapproval (TransferPreapproval)</w:t>
      </w:r>
      <w:r>
        <w:br/>
      </w:r>
      <w:r>
        <w:br/>
      </w:r>
      <w:r>
        <w:rPr>
          <w:rStyle w:val="NormalTok"/>
        </w:rPr>
        <w:t xml:space="preserve">template CrossChainDvP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executor : Party    -- the relayer, acting as authorized settlement executor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executor</w:t>
      </w:r>
      <w:r>
        <w:br/>
      </w:r>
      <w:r>
        <w:br/>
      </w:r>
      <w:r>
        <w:rPr>
          <w:rStyle w:val="NormalTok"/>
        </w:rPr>
        <w:t xml:space="preserve">    choice Execute_Inbound_Settlement : ContractId SettlementReceipt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allocationRequestId : ContractId AllocationRequest</w:t>
      </w:r>
      <w:r>
        <w:br/>
      </w:r>
      <w:r>
        <w:rPr>
          <w:rStyle w:val="NormalTok"/>
        </w:rPr>
        <w:t xml:space="preserve">        instructionId : ContractId AllocationInstruction</w:t>
      </w:r>
      <w:r>
        <w:br/>
      </w:r>
      <w:r>
        <w:rPr>
          <w:rStyle w:val="NormalTok"/>
        </w:rPr>
        <w:t xml:space="preserve">        batchFactory : ContractId SettlementFactory</w:t>
      </w:r>
      <w:r>
        <w:br/>
      </w:r>
      <w:r>
        <w:rPr>
          <w:rStyle w:val="NormalTok"/>
        </w:rPr>
        <w:t xml:space="preserve">      controller executor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Recipient's required co-authorization is satisfied via their standing</w:t>
      </w:r>
      <w:r>
        <w:br/>
      </w:r>
      <w:r>
        <w:rPr>
          <w:rStyle w:val="NormalTok"/>
        </w:rPr>
        <w:t xml:space="preserve">        -- TransferPreapproval (delegated accept for an offline treasury).</w:t>
      </w:r>
      <w:r>
        <w:br/>
      </w:r>
      <w:r>
        <w:rPr>
          <w:rStyle w:val="NormalTok"/>
        </w:rPr>
        <w:t xml:space="preserve">        allocationId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instructionId AllocationInstruction_Accept</w:t>
      </w:r>
      <w:r>
        <w:br/>
      </w:r>
      <w:r>
        <w:br/>
      </w:r>
      <w:r>
        <w:rPr>
          <w:rStyle w:val="NormalTok"/>
        </w:rPr>
        <w:t xml:space="preserve">        -- Atomic DvP via the single spine entrypoint. Funding is conserved by</w:t>
      </w:r>
      <w:r>
        <w:br/>
      </w:r>
      <w:r>
        <w:rPr>
          <w:rStyle w:val="NormalTok"/>
        </w:rPr>
        <w:t xml:space="preserve">        -- the factory; a failed batch returns holdings to the sender.</w:t>
      </w:r>
      <w:r>
        <w:br/>
      </w:r>
      <w:r>
        <w:rPr>
          <w:rStyle w:val="NormalTok"/>
        </w:rPr>
        <w:t xml:space="preserve">        receipt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batchFactory SettlementFactory_SettleBatch with</w:t>
      </w:r>
      <w:r>
        <w:br/>
      </w:r>
      <w:r>
        <w:rPr>
          <w:rStyle w:val="NormalTok"/>
        </w:rPr>
        <w:t xml:space="preserve">          allocations = [allocationId]</w:t>
      </w:r>
      <w:r>
        <w:br/>
      </w:r>
      <w:r>
        <w:rPr>
          <w:rStyle w:val="NormalTok"/>
        </w:rPr>
        <w:t xml:space="preserve">          requests = [allocationRequestId]</w:t>
      </w:r>
      <w:r>
        <w:br/>
      </w:r>
      <w:r>
        <w:rPr>
          <w:rStyle w:val="NormalTok"/>
        </w:rPr>
        <w:t xml:space="preserve">        return receipt</w:t>
      </w:r>
    </w:p>
    <w:bookmarkEnd w:id="24"/>
    <w:bookmarkStart w:id="25" w:name="Xacea6df245821eb24c23438432494d12c85a24a"/>
    <w:p>
      <w:pPr>
        <w:pStyle w:val="Heading3"/>
      </w:pPr>
      <w:r>
        <w:t xml:space="preserve">4.3 D2 lock-and-sweep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(real mechanism, no bespoke template)</w:t>
      </w:r>
    </w:p>
    <w:p>
      <w:pPr>
        <w:pStyle w:val="SourceCode"/>
      </w:pPr>
      <w:r>
        <w:rPr>
          <w:rStyle w:val="NormalTok"/>
        </w:rPr>
        <w:t xml:space="preserve">-- D2SeizureHook is a SPINE DATA RECORD (seizureCaseRef, custodianDestination,</w:t>
      </w:r>
      <w:r>
        <w:br/>
      </w:r>
      <w:r>
        <w:rPr>
          <w:rStyle w:val="NormalTok"/>
        </w:rPr>
        <w:t xml:space="preserve">-- inFlightHandlingStatus) — NOT a template, and there is no "BurnerCapability_Seize"</w:t>
      </w:r>
      <w:r>
        <w:br/>
      </w:r>
      <w:r>
        <w:rPr>
          <w:rStyle w:val="NormalTok"/>
        </w:rPr>
        <w:t xml:space="preserve">-- (BurnerCapability has no choices). Seizure runs on the Allocation / holding:</w:t>
      </w:r>
      <w:r>
        <w:br/>
      </w:r>
      <w:r>
        <w:rPr>
          <w:rStyle w:val="NormalTok"/>
        </w:rPr>
        <w:t xml:space="preserve">--</w:t>
      </w:r>
      <w:r>
        <w:br/>
      </w:r>
      <w:r>
        <w:rPr>
          <w:rStyle w:val="NormalTok"/>
        </w:rPr>
        <w:t xml:space="preserve">--   in-flight allocation:</w:t>
      </w:r>
      <w:r>
        <w:br/>
      </w:r>
      <w:r>
        <w:rPr>
          <w:rStyle w:val="NormalTok"/>
        </w:rPr>
        <w:t xml:space="preserve">--     exercise allocationId Allocation_MarkD2InFlightSeizure with seizureHook = ...</w:t>
      </w:r>
      <w:r>
        <w:br/>
      </w:r>
      <w:r>
        <w:rPr>
          <w:rStyle w:val="NormalTok"/>
        </w:rPr>
        <w:t xml:space="preserve">--     exercise allocationId Allocation_SweepD2InFlightSeizure with burnerCap = burnerCapId</w:t>
      </w:r>
      <w:r>
        <w:br/>
      </w:r>
      <w:r>
        <w:rPr>
          <w:rStyle w:val="NormalTok"/>
        </w:rPr>
        <w:t xml:space="preserve">--   settled / locked holding:</w:t>
      </w:r>
      <w:r>
        <w:br/>
      </w:r>
      <w:r>
        <w:rPr>
          <w:rStyle w:val="NormalTok"/>
        </w:rPr>
        <w:t xml:space="preserve">--     exercise lockedHoldingId LockedSimpleHolding_ForcedBurn with</w:t>
      </w:r>
      <w:r>
        <w:br/>
      </w:r>
      <w:r>
        <w:rPr>
          <w:rStyle w:val="NormalTok"/>
        </w:rPr>
        <w:t xml:space="preserve">--       burner = custodian; burnerCap = burnerCapId   -- swept to preset custodianDestination</w:t>
      </w:r>
      <w:r>
        <w:br/>
      </w:r>
      <w:r>
        <w:rPr>
          <w:rStyle w:val="NormalTok"/>
        </w:rPr>
        <w:t xml:space="preserve">--</w:t>
      </w:r>
      <w:r>
        <w:br/>
      </w:r>
      <w:r>
        <w:rPr>
          <w:rStyle w:val="NormalTok"/>
        </w:rPr>
        <w:t xml:space="preserve">-- Never burns the asset to nothing; never returns seized funds to sender.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a4c687f521a51c6c80daec4cfa2a7eba0e2ab75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Maps to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presets</w:t>
      </w:r>
      <w:r>
        <w:t xml:space="preserve"> </w:t>
      </w:r>
      <w:r>
        <w:rPr>
          <w:i/>
          <w:iCs/>
        </w:rPr>
        <w:t xml:space="preserve">Cross-chain Bridge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Batch DvP</w:t>
      </w:r>
      <w:r>
        <w:t xml:space="preserve">.</w:t>
      </w:r>
      <w:r>
        <w:t xml:space="preserve"> </w:t>
      </w:r>
      <w:r>
        <w:t xml:space="preserve">Render externally for Docs.</w:t>
      </w:r>
    </w:p>
    <w:bookmarkStart w:id="30" w:name="X8c6f0011c920bb1cc1e5c8d414a2224e3445d27"/>
    <w:p>
      <w:pPr>
        <w:pStyle w:val="Heading3"/>
      </w:pPr>
      <w:r>
        <w:t xml:space="preserve">5.1 Interface /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03-cross-chain-stablecoin.md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4807248"/>
            <wp:effectExtent b="0" l="0" r="0" t="0"/>
            <wp:docPr descr="Diagram 1" title="" id="28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3-cross-chain-stablecoin.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30"/>
    <w:bookmarkStart w:id="34" w:name="Xf2b6e7dd8bb2603e36931287fbe5cfea5b70f49"/>
    <w:p>
      <w:pPr>
        <w:pStyle w:val="Heading3"/>
      </w:pPr>
      <w:r>
        <w:t xml:space="preserve">5.2 Flow-of-Funds / Settlement Diagram (Cross-chain Bridge + Batch DvP)</w:t>
      </w:r>
    </w:p>
    <w:p>
      <w:pPr>
        <w:pStyle w:val="FirstParagraph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03-cross-chain-stablecoin.md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1973310"/>
            <wp:effectExtent b="0" l="0" r="0" t="0"/>
            <wp:docPr descr="Diagram 2" title="" id="32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3-cross-chain-stablecoin.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c230615a2d59ee180796a91b949b7f94390f0f0"/>
    <w:p>
      <w:pPr>
        <w:pStyle w:val="Heading2"/>
      </w:pPr>
      <w:r>
        <w:t xml:space="preserve">6. Library Dependencies</w:t>
      </w:r>
    </w:p>
    <w:bookmarkStart w:id="36" w:name="Xa2aba0683a0e504a80ed907513804d7151f967f"/>
    <w:p>
      <w:pPr>
        <w:pStyle w:val="Heading3"/>
      </w:pPr>
      <w:r>
        <w:t xml:space="preserve">6.1 Internal Dependencies (present in workspace)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Package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canton-contracts</w:t>
            </w:r>
          </w:p>
        </w:tc>
        <w:tc>
          <w:tcPr/>
          <w:p>
            <w:pPr>
              <w:pStyle w:val="Compact"/>
            </w:pPr>
            <w:r>
              <w:t xml:space="preserve">AL-7</w:t>
            </w:r>
            <w:r>
              <w:t xml:space="preserve"> </w:t>
            </w:r>
            <w:r>
              <w:rPr>
                <w:rStyle w:val="VerbatimChar"/>
              </w:rPr>
              <w:t xml:space="preserve">RoleGrant</w:t>
            </w:r>
            <w:r>
              <w:t xml:space="preserve">/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gating the gateway; D4 single-admin authority.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canton-contracts</w:t>
            </w:r>
          </w:p>
        </w:tc>
        <w:tc>
          <w:tcPr/>
          <w:p>
            <w:pPr>
              <w:pStyle w:val="Compact"/>
            </w:pPr>
            <w:r>
              <w:t xml:space="preserve">Ownership over hooks/factories; secure handoff.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canton-contracts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 </w:t>
            </w:r>
            <w:r>
              <w:t xml:space="preserve">halts inbound requests during anomalies.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 </w:t>
            </w:r>
            <w:r>
              <w:t xml:space="preserve">(CIP-0112 spine)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</w:p>
        </w:tc>
        <w:tc>
          <w:tcPr/>
          <w:p>
            <w:pPr>
              <w:pStyle w:val="Compact"/>
            </w:pPr>
            <w:r>
              <w:t xml:space="preserve">Allocation generation +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DvP.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TransferPreapproval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SimpleToken.Preapproval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Delegated recipient accept for offline treasuries.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t xml:space="preserve">Asset representation, 3-way dispatch, D2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t xml:space="preserve">D1 credential gating.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t xml:space="preserve">Typed D3 identity for D1 Shape-B node attestation.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types,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t xml:space="preserve">templates. The gateway supplies the gating/verification primitives.</w:t>
      </w:r>
    </w:p>
    <w:bookmarkEnd w:id="36"/>
    <w:bookmarkStart w:id="37" w:name="X156af5b5e6cf6eba6391cfe8a4eca0b0c6a18f8"/>
    <w:p>
      <w:pPr>
        <w:pStyle w:val="Heading3"/>
      </w:pPr>
      <w:r>
        <w:t xml:space="preserve">6.2 External / Planned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 / Provider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Standardized Messaging Gateway</w:t>
            </w:r>
          </w:p>
        </w:tc>
        <w:tc>
          <w:tcPr/>
          <w:p>
            <w:pPr>
              <w:pStyle w:val="Compact"/>
            </w:pPr>
            <w:r>
              <w:t xml:space="preserve">Cross-chain messaging (OpenZeppelin Contracts Library)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[FUTURE]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 in this workspace.</w:t>
            </w:r>
            <w:r>
              <w:t xml:space="preserve"> </w:t>
            </w:r>
            <w:r>
              <w:t xml:space="preserve">Modeled as a bounded mock (</w:t>
            </w:r>
            <w:r>
              <w:rPr>
                <w:rStyle w:val="VerbatimChar"/>
              </w:rPr>
              <w:t xml:space="preserve">StandardizedMessagingGateway</w:t>
            </w:r>
            <w:r>
              <w:t xml:space="preserve">); to be swapped for a production CCIP/LayerZero-style integration. Build only its Daml-facing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Splice Token Standard V2 DARs</w:t>
            </w:r>
          </w:p>
        </w:tc>
        <w:tc>
          <w:tcPr/>
          <w:p>
            <w:pPr>
              <w:pStyle w:val="Compact"/>
            </w:pPr>
            <w:r>
              <w:t xml:space="preserve">V2 settlement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[UPSTREAM]</w:t>
            </w:r>
          </w:p>
        </w:tc>
        <w:tc>
          <w:tcPr/>
          <w:p>
            <w:pPr>
              <w:pStyle w:val="Compact"/>
            </w:pPr>
            <w:r>
              <w:t xml:space="preserve">Local stand-ins designed to maximally match the V2 interfaces; source-of-record</w:t>
            </w:r>
            <w:r>
              <w:t xml:space="preserve"> </w:t>
            </w:r>
            <w:r>
              <w:rPr>
                <w:rStyle w:val="VerbatimChar"/>
              </w:rPr>
              <w:t xml:space="preserve">hyperledger-labs/splice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token-standard-v2-upcoming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1e34121b…</w:t>
            </w:r>
            <w:r>
              <w:t xml:space="preserve"> </w:t>
            </w:r>
            <w:r>
              <w:t xml:space="preserve">(historical preview</w:t>
            </w:r>
            <w:r>
              <w:t xml:space="preserve"> </w:t>
            </w:r>
            <w:r>
              <w:rPr>
                <w:rStyle w:val="VerbatimChar"/>
              </w:rPr>
              <w:t xml:space="preserve">…-daml-preview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b91de5d4…</w:t>
            </w:r>
            <w:r>
              <w:t xml:space="preserve">). Import gated (PLAN.md;</w:t>
            </w:r>
            <w:r>
              <w:t xml:space="preserve"> </w:t>
            </w:r>
            <w:r>
              <w:rPr>
                <w:rStyle w:val="VerbatimChar"/>
              </w:rPr>
              <w:t xml:space="preserve">M4_STABLECOIN_SCOPE.md</w:t>
            </w:r>
            <w:r>
              <w:t xml:space="preserve"> </w:t>
            </w:r>
            <w:r>
              <w:t xml:space="preserve">§A).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USDCx</w:t>
            </w:r>
          </w:p>
        </w:tc>
        <w:tc>
          <w:tcPr/>
          <w:p>
            <w:pPr>
              <w:pStyle w:val="Compact"/>
            </w:pPr>
            <w:r>
              <w:t xml:space="preserve">Settled instrument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Consumed via interface only; issuance + peg handled off-architecture.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afd635958b9f219ac7c7aab416c2f44ad3d0a0a"/>
    <w:p>
      <w:pPr>
        <w:pStyle w:val="Heading2"/>
      </w:pPr>
      <w:r>
        <w:t xml:space="preserve">7. Security &amp; Auditability</w:t>
      </w:r>
    </w:p>
    <w:p>
      <w:pPr>
        <w:pStyle w:val="FirstParagraph"/>
      </w:pPr>
      <w:r>
        <w:t xml:space="preserve">Security relies on Daml's structural rigidity and deterministic state</w:t>
      </w:r>
      <w:r>
        <w:t xml:space="preserve"> </w:t>
      </w:r>
      <w:r>
        <w:t xml:space="preserve">transitions, not obscure cryptography.</w:t>
      </w:r>
    </w:p>
    <w:bookmarkStart w:id="39" w:name="X9ddbd80ede60310ad03ca799c2c4c5894b67f33"/>
    <w:p>
      <w:pPr>
        <w:pStyle w:val="Heading3"/>
      </w:pPr>
      <w:r>
        <w:t xml:space="preserve">7.1 Invariants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Conservation of funds.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cannot output more</w:t>
      </w:r>
      <w:r>
        <w:t xml:space="preserve"> </w:t>
      </w:r>
      <w:r>
        <w:t xml:space="preserve">value than its input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s; sum of inputs = sum of receipts + returned</w:t>
      </w:r>
      <w:r>
        <w:t xml:space="preserve"> </w:t>
      </w:r>
      <w:r>
        <w:t xml:space="preserve">change, enforced via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. Any mismatch is rejected by the</w:t>
      </w:r>
      <w:r>
        <w:t xml:space="preserve"> </w:t>
      </w:r>
      <w:r>
        <w:t xml:space="preserve">Daml engine — no counterfeiting.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 partitioning.</w:t>
      </w:r>
      <w:r>
        <w:t xml:space="preserve"> </w:t>
      </w:r>
      <w:r>
        <w:t xml:space="preserve">Amount, payer, and payload memo are projected only to</w:t>
      </w:r>
      <w:r>
        <w:t xml:space="preserve"> </w:t>
      </w:r>
      <w:r>
        <w:t xml:space="preserve">the relayer, recipient, and designated compliance verifier. If the</w:t>
      </w:r>
      <w:r>
        <w:t xml:space="preserve"> </w:t>
      </w:r>
      <w:r>
        <w:t xml:space="preserve">StablecoinAdmin could observe the memo without authorization, the invariant is</w:t>
      </w:r>
      <w:r>
        <w:t xml:space="preserve"> </w:t>
      </w:r>
      <w:r>
        <w:t xml:space="preserve">broken.</w:t>
      </w:r>
    </w:p>
    <w:bookmarkEnd w:id="39"/>
    <w:bookmarkStart w:id="40" w:name="X522623b87ce57baba9306cb5019c5c715c835f4"/>
    <w:p>
      <w:pPr>
        <w:pStyle w:val="Heading3"/>
      </w:pPr>
      <w:r>
        <w:t xml:space="preserve">7.2 Threat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relayer</w:t>
            </w:r>
          </w:p>
        </w:tc>
        <w:tc>
          <w:tcPr/>
          <w:p>
            <w:pPr>
              <w:pStyle w:val="Compact"/>
            </w:pPr>
            <w:r>
              <w:t xml:space="preserve">Routes valid inbound funds to an unauthorized/sanctioned account.</w:t>
            </w:r>
          </w:p>
        </w:tc>
        <w:tc>
          <w:tcPr/>
          <w:p>
            <w:pPr>
              <w:pStyle w:val="Compact"/>
            </w:pPr>
            <w:r>
              <w:t xml:space="preserve">D1 hook requires a node-applied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subjectParty</w:t>
            </w:r>
            <w:r>
              <w:t xml:space="preserve"> </w:t>
            </w:r>
            <w:r>
              <w:t xml:space="preserve">matches the exact recipient; the relayer cannot spoof the destination (fail-closed).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sender</w:t>
            </w:r>
          </w:p>
        </w:tc>
        <w:tc>
          <w:tcPr/>
          <w:p>
            <w:pPr>
              <w:pStyle w:val="Compact"/>
            </w:pPr>
            <w:r>
              <w:t xml:space="preserve">Triggers spam/toxic settlement to an unwilling recipient.</w:t>
            </w:r>
          </w:p>
        </w:tc>
        <w:tc>
          <w:tcPr/>
          <w:p>
            <w:pPr>
              <w:pStyle w:val="Compact"/>
            </w:pPr>
            <w:r>
              <w:t xml:space="preserve">Without a configured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 </w:t>
            </w:r>
            <w:r>
              <w:t xml:space="preserve">or explicit accept, the allocation is not settled and funds return to sender (transfer-failure semantics).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admin</w:t>
            </w:r>
          </w:p>
        </w:tc>
        <w:tc>
          <w:tcPr/>
          <w:p>
            <w:pPr>
              <w:pStyle w:val="Compact"/>
            </w:pPr>
            <w:r>
              <w:t xml:space="preserve">Attempts arbitrary expropriation.</w:t>
            </w:r>
          </w:p>
        </w:tc>
        <w:tc>
          <w:tcPr/>
          <w:p>
            <w:pPr>
              <w:pStyle w:val="Compact"/>
            </w:pPr>
            <w:r>
              <w:t xml:space="preserve">D4 single-admin is a structural boundary; even a compromised admin's D2 sweep is hardcoded to the preset</w:t>
            </w:r>
            <w:r>
              <w:t xml:space="preserve"> </w:t>
            </w:r>
            <w:r>
              <w:rPr>
                <w:rStyle w:val="VerbatimChar"/>
              </w:rPr>
              <w:t xml:space="preserve">custodianDestination</w:t>
            </w:r>
            <w:r>
              <w:t xml:space="preserve"> </w:t>
            </w:r>
            <w:r>
              <w:t xml:space="preserve">(no arbitrary burn, no return-to-sender).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UTXO fragmentation</w:t>
            </w:r>
          </w:p>
        </w:tc>
        <w:tc>
          <w:tcPr/>
          <w:p>
            <w:pPr>
              <w:pStyle w:val="Compact"/>
            </w:pPr>
            <w:r>
              <w:t xml:space="preserve">Many small transfers accumulate holding dust.</w:t>
            </w:r>
          </w:p>
        </w:tc>
        <w:tc>
          <w:tcPr/>
          <w:p>
            <w:pPr>
              <w:pStyle w:val="Compact"/>
            </w:pPr>
            <w:r>
              <w:t xml:space="preserve">Iterated settlement merges inputs; remaining balance returns as a single new holding, reducing fragmentation during the batch.</w:t>
            </w:r>
          </w:p>
        </w:tc>
      </w:tr>
    </w:tbl>
    <w:bookmarkEnd w:id="40"/>
    <w:bookmarkStart w:id="41" w:name="X078a1f8bc0828a83475317f5f3c4ee478a36666"/>
    <w:p>
      <w:pPr>
        <w:pStyle w:val="Heading3"/>
      </w:pPr>
      <w:r>
        <w:t xml:space="preserve">7.3 Validation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Validates SCU rules (no illegal field mutation; only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 </w:t>
            </w:r>
            <w:r>
              <w:t xml:space="preserve">extensions), decimal bounds, archive-before-execute,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wrapper,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testing with shrinking over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: fuzzed extra-transfer-leg scenarios verify funding conservation never breaks.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 proofs over D1–D4 mappings — e.g.</w:t>
            </w:r>
            <w:r>
              <w:t xml:space="preserve"> </w:t>
            </w:r>
            <w:r>
              <w:rPr>
                <w:rStyle w:val="VerbatimChar"/>
              </w:rPr>
              <w:t xml:space="preserve">Gateway_ProcessInbound</w:t>
            </w:r>
            <w:r>
              <w:t xml:space="preserve"> </w:t>
            </w:r>
            <w:r>
              <w:t xml:space="preserve">is unreachable unless a valid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path exists, sealing the D1 gate on-ledger.</w:t>
            </w:r>
          </w:p>
        </w:tc>
      </w:tr>
    </w:tbl>
    <w:p>
      <w:pPr>
        <w:pStyle w:val="BodyText"/>
      </w:pPr>
      <w:r>
        <w:t xml:space="preserve">(Tooling exists in the workspace; no benchmark latencies are claimed.)</w:t>
      </w:r>
    </w:p>
    <w:bookmarkEnd w:id="41"/>
    <w:bookmarkStart w:id="42" w:name="X54d1d1505e2ba895a54e030ca13d0f53a1ac2f2"/>
    <w:p>
      <w:pPr>
        <w:pStyle w:val="Heading3"/>
      </w:pPr>
      <w:r>
        <w:t xml:space="preserve">7.4 Off-ledger reconciliation</w:t>
      </w:r>
      <w:r>
        <w:t xml:space="preserve"> </w:t>
      </w:r>
      <w:r>
        <w:rPr>
          <w:rStyle w:val="VerbatimChar"/>
        </w:rPr>
        <w:t xml:space="preserve">[UPSTREAM]</w:t>
      </w:r>
    </w:p>
    <w:p>
      <w:pPr>
        <w:pStyle w:val="FirstParagraph"/>
      </w:pPr>
      <w:r>
        <w:t xml:space="preserve">A treasury operating this flow reconciles its private Canton settlement against</w:t>
      </w:r>
      <w:r>
        <w:t xml:space="preserve"> </w:t>
      </w:r>
      <w:r>
        <w:t xml:space="preserve">the inbound external-chain event without parsing raw transaction trees: the</w:t>
      </w:r>
      <w:r>
        <w:t xml:space="preserve"> </w:t>
      </w:r>
      <w:r>
        <w:t xml:space="preserve">Token Standard V2 transfer-events API (</w:t>
      </w:r>
      <w:r>
        <w:rPr>
          <w:rStyle w:val="VerbatimChar"/>
        </w:rPr>
        <w:t xml:space="preserve">Splice.Api.Token.TransferEventsV2</w:t>
      </w:r>
      <w:r>
        <w:t xml:space="preserve">,</w:t>
      </w:r>
      <w:r>
        <w:t xml:space="preserve"> </w:t>
      </w:r>
      <w:r>
        <w:t xml:space="preserve">imported in the</w:t>
      </w:r>
      <w:r>
        <w:t xml:space="preserve"> </w:t>
      </w:r>
      <w:r>
        <w:rPr>
          <w:rStyle w:val="VerbatimChar"/>
        </w:rPr>
        <w:t xml:space="preserve">canton-token-template</w:t>
      </w:r>
      <w:r>
        <w:t xml:space="preserve"> </w:t>
      </w:r>
      <w:r>
        <w:t xml:space="preserve">evidence) emits holdings-change events the</w:t>
      </w:r>
      <w:r>
        <w:t xml:space="preserve"> </w:t>
      </w:r>
      <w:r>
        <w:t xml:space="preserve">recipient can correlate with the gateway's inbound message id, giving a 1:1</w:t>
      </w:r>
      <w:r>
        <w:t xml:space="preserve"> </w:t>
      </w:r>
      <w:r>
        <w:t xml:space="preserve">audit linkage between the external lock/burn and the Canton credit. This is an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API surface, not vendored here, and the linkage is a reference</w:t>
      </w:r>
      <w:r>
        <w:t xml:space="preserve"> </w:t>
      </w:r>
      <w:r>
        <w:t xml:space="preserve">pattern — the report makes no reconciliation-completeness, accounting-standard, or</w:t>
      </w:r>
      <w:r>
        <w:t xml:space="preserve"> </w:t>
      </w:r>
      <w:r>
        <w:t xml:space="preserve">audit-readiness claim.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2213aa400af3badbf7f432163a1336f639e261c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 (including the cross-chain vs cross-synchronizer</w:t>
      </w:r>
      <w:r>
        <w:t xml:space="preserve"> </w:t>
      </w:r>
      <w:r>
        <w:t xml:space="preserve">distinction below).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planned.</w:t>
      </w:r>
      <w:r>
        <w:t xml:space="preserve"> </w:t>
      </w:r>
      <w:r>
        <w:t xml:space="preserve">Note</w:t>
      </w:r>
      <w:r>
        <w:t xml:space="preserve"> </w:t>
      </w:r>
      <w:r>
        <w:t xml:space="preserve">the distinction: this RI is</w:t>
      </w:r>
      <w:r>
        <w:t xml:space="preserve"> </w:t>
      </w:r>
      <w:r>
        <w:rPr>
          <w:i/>
          <w:iCs/>
        </w:rPr>
        <w:t xml:space="preserve">cross-chain</w:t>
      </w:r>
      <w:r>
        <w:t xml:space="preserve"> </w:t>
      </w:r>
      <w:r>
        <w:t xml:space="preserve">(bridging from external L1s/L2s via</w:t>
      </w:r>
      <w:r>
        <w:t xml:space="preserve"> </w:t>
      </w:r>
      <w:r>
        <w:t xml:space="preserve">the gateway) but still</w:t>
      </w:r>
      <w:r>
        <w:t xml:space="preserve"> </w:t>
      </w:r>
      <w:r>
        <w:rPr>
          <w:b/>
          <w:bCs/>
        </w:rPr>
        <w:t xml:space="preserve">single-synchronizer on Canton</w:t>
      </w:r>
      <w:r>
        <w:t xml:space="preserve"> </w:t>
      </w:r>
      <w:r>
        <w:t xml:space="preserve">today. Operating the</w:t>
      </w:r>
      <w:r>
        <w:t xml:space="preserve"> </w:t>
      </w:r>
      <w:r>
        <w:t xml:space="preserve">Canton-side settlement across</w:t>
      </w:r>
      <w:r>
        <w:t xml:space="preserve"> </w:t>
      </w:r>
      <w:r>
        <w:rPr>
          <w:b/>
          <w:bCs/>
        </w:rPr>
        <w:t xml:space="preserve">multiple Canton synchronizer domains</w:t>
      </w:r>
      <w:r>
        <w:t xml:space="preserve"> </w:t>
      </w:r>
      <w:r>
        <w:t xml:space="preserve">is a</w:t>
      </w:r>
      <w:r>
        <w:t xml:space="preserve"> </w:t>
      </w:r>
      <w:r>
        <w:t xml:space="preserve">separate, deferred capability (D3 cross-domain identity is also deferred). This</w:t>
      </w:r>
      <w:r>
        <w:t xml:space="preserve"> </w:t>
      </w:r>
      <w:r>
        <w:t xml:space="preserve">section plans it per Canton's per-synchronizer assignment + unassign/assign</w:t>
      </w:r>
      <w:r>
        <w:t xml:space="preserve"> </w:t>
      </w:r>
      <w:r>
        <w:t xml:space="preserve">reassignment model and the SCU rule.</w:t>
      </w:r>
    </w:p>
    <w:bookmarkStart w:id="44" w:name="X5076e1cac527f15ff940983c34c427edc0ba823"/>
    <w:p>
      <w:pPr>
        <w:pStyle w:val="Heading3"/>
      </w:pPr>
      <w:r>
        <w:t xml:space="preserve">8.1 Cross-chain vs cross-synchronizer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Cross-chain</w:t>
      </w:r>
      <w:r>
        <w:t xml:space="preserve"> </w:t>
      </w:r>
      <w:r>
        <w:t xml:space="preserve">(in scope as a mock): external chain → gateway attestation →</w:t>
      </w:r>
      <w:r>
        <w:t xml:space="preserve"> </w:t>
      </w:r>
      <w:r>
        <w:t xml:space="preserve">Canton settlement on one synchronizer.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Cross-synchronizer</w:t>
      </w:r>
      <w:r>
        <w:t xml:space="preserve"> </w:t>
      </w:r>
      <w:r>
        <w:t xml:space="preserve">(planned): the Canton-side recipient, stablecoin</w:t>
      </w:r>
      <w:r>
        <w:t xml:space="preserve"> </w:t>
      </w:r>
      <w:r>
        <w:t xml:space="preserve">instrument, and compliance registry may live on</w:t>
      </w:r>
      <w:r>
        <w:t xml:space="preserve"> </w:t>
      </w:r>
      <w:r>
        <w:rPr>
          <w:b/>
          <w:bCs/>
        </w:rPr>
        <w:t xml:space="preserve">different Canton</w:t>
      </w:r>
      <w:r>
        <w:rPr>
          <w:b/>
          <w:bCs/>
        </w:rPr>
        <w:t xml:space="preserve"> </w:t>
      </w:r>
      <w:r>
        <w:rPr>
          <w:b/>
          <w:bCs/>
        </w:rPr>
        <w:t xml:space="preserve">synchronizers</w:t>
      </w:r>
      <w:r>
        <w:t xml:space="preserve">; settlement then requires reassigning the relevant contracts</w:t>
      </w:r>
      <w:r>
        <w:t xml:space="preserve"> </w:t>
      </w:r>
      <w:r>
        <w:t xml:space="preserve">onto one synchronizer before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.</w:t>
      </w:r>
    </w:p>
    <w:bookmarkEnd w:id="44"/>
    <w:bookmarkStart w:id="45" w:name="X231fc8c1281f7d0cd5643c9adb44e5ca714d8c7"/>
    <w:p>
      <w:pPr>
        <w:pStyle w:val="Heading3"/>
      </w:pPr>
      <w:r>
        <w:t xml:space="preserve">8.2 Where it touches the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Single-synchronizer (today)</w:t>
            </w:r>
          </w:p>
        </w:tc>
        <w:tc>
          <w:tcPr/>
          <w:p>
            <w:pPr>
              <w:pStyle w:val="Compact"/>
            </w:pPr>
            <w:r>
              <w:t xml:space="preserve">Cross-synchronizer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</w:p>
        </w:tc>
        <w:tc>
          <w:tcPr/>
          <w:p>
            <w:pPr>
              <w:pStyle w:val="Compact"/>
            </w:pPr>
            <w:r>
              <w:t xml:space="preserve">Created/settled on the recipient's synchronizer.</w:t>
            </w:r>
          </w:p>
        </w:tc>
        <w:tc>
          <w:tcPr/>
          <w:p>
            <w:pPr>
              <w:pStyle w:val="Compact"/>
            </w:pPr>
            <w:r>
              <w:t xml:space="preserve">Reassignable: inbound allocation assigned to the synchronizer hosting the recipient's USDCx holding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USDCx instrument admin</w:t>
            </w:r>
          </w:p>
        </w:tc>
        <w:tc>
          <w:tcPr/>
          <w:p>
            <w:pPr>
              <w:pStyle w:val="Compact"/>
            </w:pPr>
            <w:r>
              <w:t xml:space="preserve">Same synchronizer as settlement.</w:t>
            </w:r>
          </w:p>
        </w:tc>
        <w:tc>
          <w:tcPr/>
          <w:p>
            <w:pPr>
              <w:pStyle w:val="Compact"/>
            </w:pPr>
            <w:r>
              <w:t xml:space="preserve">If USDCx is administered on another synchronizer, the settled instrument must be reachable there or reassigned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One synchronizer.</w:t>
            </w:r>
          </w:p>
        </w:tc>
        <w:tc>
          <w:tcPr/>
          <w:p>
            <w:pPr>
              <w:pStyle w:val="Compact"/>
            </w:pPr>
            <w:r>
              <w:t xml:space="preserve">Synchronizer-aware registry; compliance re-checked on the settling synchronizer (no stale cross-domain attestation reuse).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proof (ONCHAINID / ERC-3643 / CCID) resolved into a synchronizer-aware registry — the deferred D3 work.</w:t>
            </w:r>
          </w:p>
        </w:tc>
      </w:tr>
    </w:tbl>
    <w:bookmarkEnd w:id="45"/>
    <w:bookmarkStart w:id="46" w:name="X3ff25ebd74ca6946f284a7256cb7cd95d1ab5c6"/>
    <w:p>
      <w:pPr>
        <w:pStyle w:val="Heading3"/>
      </w:pPr>
      <w:r>
        <w:t xml:space="preserve">8.3 The additive, non-breaking path (SCU-compliant)</w:t>
      </w:r>
    </w:p>
    <w:p>
      <w:pPr>
        <w:pStyle w:val="Compact"/>
        <w:numPr>
          <w:ilvl w:val="0"/>
          <w:numId w:val="1005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to the RI gateway/orchestrator templates;</w:t>
      </w:r>
      <w:r>
        <w:t xml:space="preserve"> </w:t>
      </w:r>
      <w:r>
        <w:t xml:space="preserve">older 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a new parallel choice (e.g.</w:t>
      </w:r>
      <w:r>
        <w:t xml:space="preserve"> </w:t>
      </w:r>
      <w:r>
        <w:rPr>
          <w:rStyle w:val="VerbatimChar"/>
        </w:rPr>
        <w:t xml:space="preserve">Execute_Inbound_Settlement_CrossDomain</w:t>
      </w:r>
      <w:r>
        <w:t xml:space="preserve">)</w:t>
      </w:r>
      <w:r>
        <w:t xml:space="preserve"> </w:t>
      </w:r>
      <w:r>
        <w:t xml:space="preserve">alongside the unchanged single-synchronizer choice.</w:t>
      </w:r>
    </w:p>
    <w:p>
      <w:pPr>
        <w:pStyle w:val="Compact"/>
        <w:numPr>
          <w:ilvl w:val="0"/>
          <w:numId w:val="1005"/>
        </w:numPr>
      </w:pPr>
      <w:r>
        <w:t xml:space="preserve">Model reassignment as workflow: reassign the inbound allocation onto the</w:t>
      </w:r>
      <w:r>
        <w:t xml:space="preserve"> </w:t>
      </w:r>
      <w:r>
        <w:t xml:space="preserve">settling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 the receipt/holding</w:t>
      </w:r>
      <w:r>
        <w:t xml:space="preserve"> </w:t>
      </w:r>
      <w:r>
        <w:t xml:space="preserve">back. Atomicity stays at the single-synchronizer batch boundary.</w:t>
      </w:r>
    </w:p>
    <w:bookmarkEnd w:id="46"/>
    <w:bookmarkStart w:id="47" w:name="X60de9bed5e6603d70a9bd57ed6c194ae568df13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06"/>
        </w:numPr>
      </w:pPr>
      <w:r>
        <w:t xml:space="preserve">Reassignment-vs-settlement atomicity (rollback vs re-home-able allocation on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failure) — maps to the return-to-sender rule.</w:t>
      </w:r>
    </w:p>
    <w:p>
      <w:pPr>
        <w:pStyle w:val="Compact"/>
        <w:numPr>
          <w:ilvl w:val="0"/>
          <w:numId w:val="1006"/>
        </w:numPr>
      </w:pPr>
      <w:r>
        <w:t xml:space="preserve">Which synchronizer's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and verifier set govern a</w:t>
      </w:r>
      <w:r>
        <w:t xml:space="preserve"> </w:t>
      </w:r>
      <w:r>
        <w:t xml:space="preserve">cross-domain inflow.</w:t>
      </w:r>
    </w:p>
    <w:p>
      <w:pPr>
        <w:pStyle w:val="Compact"/>
        <w:numPr>
          <w:ilvl w:val="0"/>
          <w:numId w:val="1006"/>
        </w:numPr>
      </w:pPr>
      <w:r>
        <w:t xml:space="preserve">Cross-domain D1 freshness (re-check on the settling synchronizer; never reuse</w:t>
      </w:r>
      <w:r>
        <w:t xml:space="preserve"> </w:t>
      </w:r>
      <w:r>
        <w:t xml:space="preserve">across a reassignment).</w:t>
      </w:r>
    </w:p>
    <w:p>
      <w:pPr>
        <w:pStyle w:val="Compact"/>
        <w:numPr>
          <w:ilvl w:val="0"/>
          <w:numId w:val="1006"/>
        </w:numPr>
      </w:pPr>
      <w:r>
        <w:t xml:space="preserve">Reassignment tooling maturity (evolving Canton/DA stack; assumes drop-in).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1eac4ebe82c6da8aa74d16d08bf85a2f3190a4f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Standardized Messaging Gateway (planned, absent).</w:t>
      </w:r>
      <w:r>
        <w:t xml:space="preserve"> </w:t>
      </w:r>
      <w:r>
        <w:t xml:space="preserve">The gateway is a</w:t>
      </w:r>
      <w:r>
        <w:t xml:space="preserve"> </w:t>
      </w:r>
      <w:r>
        <w:t xml:space="preserve">Contracts-Library component</w:t>
      </w:r>
      <w:r>
        <w:t xml:space="preserve"> </w:t>
      </w:r>
      <w:r>
        <w:rPr>
          <w:b/>
          <w:bCs/>
        </w:rPr>
        <w:t xml:space="preserve">not yet present in this workspace</w:t>
      </w:r>
      <w:r>
        <w:t xml:space="preserve">. When the</w:t>
      </w:r>
      <w:r>
        <w:t xml:space="preserve"> </w:t>
      </w:r>
      <w:r>
        <w:t xml:space="preserve">production gateway lands, how are inbound attestations sequenced if the origin</w:t>
      </w:r>
      <w:r>
        <w:t xml:space="preserve"> </w:t>
      </w:r>
      <w:r>
        <w:t xml:space="preserve">chain (Ethereum/Polygon) deep-reorgs? Does the gateway manage confirmation</w:t>
      </w:r>
      <w:r>
        <w:t xml:space="preserve"> </w:t>
      </w:r>
      <w:r>
        <w:t xml:space="preserve">delays internally, or must the relayer Daml contract use a time-locked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to mitigate cross-chain rollback risk?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USDCx forced upgrades.</w:t>
      </w:r>
      <w:r>
        <w:t xml:space="preserve"> </w:t>
      </w:r>
      <w:r>
        <w:t xml:space="preserve">Active holdings upgrade-on-use via factory routing,</w:t>
      </w:r>
      <w:r>
        <w:t xml:space="preserve"> </w:t>
      </w:r>
      <w:r>
        <w:t xml:space="preserve">but a forced upgrade for passive holders raises a question: how does the</w:t>
      </w:r>
      <w:r>
        <w:t xml:space="preserve"> </w:t>
      </w:r>
      <w:r>
        <w:t xml:space="preserve">relayer detect a recipient holding a deprecated</w:t>
      </w:r>
      <w:r>
        <w:t xml:space="preserve"> </w:t>
      </w:r>
      <w:r>
        <w:rPr>
          <w:rStyle w:val="VerbatimChar"/>
        </w:rPr>
        <w:t xml:space="preserve">TransferPreapproval</w:t>
      </w:r>
      <w:r>
        <w:t xml:space="preserve">, and what</w:t>
      </w:r>
      <w:r>
        <w:t xml:space="preserve"> </w:t>
      </w:r>
      <w:r>
        <w:t xml:space="preserve">is the fallback from delegated-accept to an interactive two-step offer?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Expired / unsettled inbound-allocation lifecycle.</w:t>
      </w:r>
      <w:r>
        <w:t xml:space="preserve"> </w:t>
      </w:r>
      <w:r>
        <w:t xml:space="preserve">A committed inbound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locks bridging funds until settlement; if the DvP never completes</w:t>
      </w:r>
      <w:r>
        <w:t xml:space="preserve"> </w:t>
      </w:r>
      <w:r>
        <w:t xml:space="preserve">(recipient never finalizes, origin reorg, deadline lapses), the local CIP-0112</w:t>
      </w:r>
      <w:r>
        <w:t xml:space="preserve"> </w:t>
      </w:r>
      <w:r>
        <w:t xml:space="preserve">scaffold has</w:t>
      </w:r>
      <w:r>
        <w:t xml:space="preserve"> </w:t>
      </w:r>
      <w:r>
        <w:rPr>
          <w:b/>
          <w:bCs/>
        </w:rPr>
        <w:t xml:space="preserve">no cancel/withdraw/reject path</w:t>
      </w:r>
      <w:r>
        <w:t xml:space="preserve"> </w:t>
      </w:r>
      <w:r>
        <w:t xml:space="preserve">— the choices today are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and the two D2 seizure choices. The upstream Token Standard</w:t>
      </w:r>
      <w:r>
        <w:t xml:space="preserve"> </w:t>
      </w:r>
      <w:r>
        <w:t xml:space="preserve">V2 Allocation lifecycle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separates an allocation's expiry from its</w:t>
      </w:r>
      <w:r>
        <w:t xml:space="preserve"> </w:t>
      </w:r>
      <w:r>
        <w:t xml:space="preserve">settlement deadline and adds cancel/withdraw/reject semantics, which would let</w:t>
      </w:r>
      <w:r>
        <w:t xml:space="preserve"> </w:t>
      </w:r>
      <w:r>
        <w:t xml:space="preserve">an automated handler reclaim dead capital without the original signer. Whether</w:t>
      </w:r>
      <w:r>
        <w:t xml:space="preserve"> </w:t>
      </w:r>
      <w:r>
        <w:t xml:space="preserve">M1 reserves this via an additive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cancel choice on the RI orchestrator</w:t>
      </w:r>
      <w:r>
        <w:t xml:space="preserve"> </w:t>
      </w:r>
      <w:r>
        <w:t xml:space="preserve">(return-to-sender on expiry) or defers entirely to the upstream lifecycle once</w:t>
      </w:r>
      <w:r>
        <w:t xml:space="preserve"> </w:t>
      </w:r>
      <w:r>
        <w:t xml:space="preserve">imported is open. (Maps to the transfer-failure return-to-sender rule.)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Cross-domain identity proof injection (D3).</w:t>
      </w:r>
      <w:r>
        <w:t xml:space="preserve"> </w:t>
      </w:r>
      <w:r>
        <w:t xml:space="preserve">When ONCHAINID / ERC-3643</w:t>
      </w:r>
      <w:r>
        <w:t xml:space="preserve"> </w:t>
      </w:r>
      <w:r>
        <w:t xml:space="preserve">equivalents are supported, does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ingest external</w:t>
      </w:r>
      <w:r>
        <w:t xml:space="preserve"> </w:t>
      </w:r>
      <w:r>
        <w:t xml:space="preserve">state proofs via an oracle, or rely on a CCID protocol synchronized across the</w:t>
      </w:r>
      <w:r>
        <w:t xml:space="preserve"> </w:t>
      </w:r>
      <w:r>
        <w:t xml:space="preserve">global synchronizer? The cross-domain proof-injection trust model must be</w:t>
      </w:r>
      <w:r>
        <w:t xml:space="preserve"> </w:t>
      </w:r>
      <w:r>
        <w:t xml:space="preserve">audited.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Cross-synchronizer operation</w:t>
      </w:r>
      <w:r>
        <w:t xml:space="preserve"> </w:t>
      </w:r>
      <w:r>
        <w:t xml:space="preserve">(see §8) — deferred; tracked there.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recipients holding USDCx settled</w:t>
      </w:r>
      <w:r>
        <w:t xml:space="preserve"> </w:t>
      </w:r>
      <w:r>
        <w:t xml:space="preserve">here can provide liquidity to the DEX RI (</w:t>
      </w:r>
      <w:hyperlink r:id="rId49">
        <w:r>
          <w:rPr>
            <w:rStyle w:val="VerbatimChar"/>
          </w:rPr>
          <w:t xml:space="preserve">01</w:t>
        </w:r>
      </w:hyperlink>
      <w:r>
        <w:t xml:space="preserve">) pools or</w:t>
      </w:r>
      <w:r>
        <w:t xml:space="preserve"> </w:t>
      </w:r>
      <w:r>
        <w:t xml:space="preserve">collateralize a Lending RI (</w:t>
      </w:r>
      <w:hyperlink r:id="rId50">
        <w:r>
          <w:rPr>
            <w:rStyle w:val="VerbatimChar"/>
          </w:rPr>
          <w:t xml:space="preserve">02</w:t>
        </w:r>
      </w:hyperlink>
      <w:r>
        <w:t xml:space="preserve">) vault — all over the same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spine, with no parallel settlement path.</w:t>
      </w:r>
    </w:p>
    <w:p>
      <w:r>
        <w:pict>
          <v:rect style="width:0;height:1.5pt" o:hralign="center" o:hrstd="t" o:hr="t"/>
        </w:pic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are grounded in real source in</w:t>
      </w:r>
      <w:r>
        <w:t xml:space="preserve"> </w:t>
      </w:r>
      <w:r>
        <w:t xml:space="preserve">this workspace (verified 2026-06-24), except components explicitly marked</w:t>
      </w:r>
      <w:r>
        <w:t xml:space="preserve"> </w:t>
      </w:r>
      <w:r>
        <w:t xml:space="preserve">planned/external.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Holdings / rules / preapproval / forced-burn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TransferPreapproval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TransferPreapproval_Send</w:t>
      </w:r>
      <w:r>
        <w:t xml:space="preserve">/</w:t>
      </w:r>
      <w:r>
        <w:rPr>
          <w:rStyle w:val="VerbatimChar"/>
        </w:rPr>
        <w:t xml:space="preserve">_MintInto</w:t>
      </w:r>
      <w:r>
        <w:t xml:space="preserve">;</w:t>
      </w:r>
      <w:r>
        <w:t xml:space="preserve"> </w:t>
      </w:r>
      <w:r>
        <w:rPr>
          <w:rStyle w:val="VerbatimChar"/>
        </w:rPr>
        <w:t xml:space="preserve">LockedSimpleHolding_ForcedBurn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2">
        <w:r>
          <w:rPr>
            <w:rStyle w:val="VerbatimChar"/>
          </w:rPr>
          <w:t xml:space="preserve">PLAN.md</w:t>
        </w:r>
      </w:hyperlink>
      <w:r>
        <w:t xml:space="preserve">,</w:t>
      </w:r>
      <w:r>
        <w:t xml:space="preserve"> </w:t>
      </w:r>
      <w:hyperlink r:id="rId53">
        <w:r>
          <w:rPr>
            <w:rStyle w:val="VerbatimChar"/>
          </w:rPr>
          <w:t xml:space="preserve">AGENTS.md</w:t>
        </w:r>
      </w:hyperlink>
      <w:r>
        <w:t xml:space="preserve">, briefing</w:t>
      </w:r>
      <w:r>
        <w:t xml:space="preserve"> </w:t>
      </w:r>
      <w:hyperlink r:id="rId54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1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2">
        <w:r>
          <w:rPr>
            <w:rStyle w:val="VerbatimChar"/>
          </w:rPr>
          <w:t xml:space="preserve">M4_STABLECOIN_SCOPE.md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(import gated per PLAN.md).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Planned / external (not in workspace):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Messaging</w:t>
      </w:r>
      <w:r>
        <w:rPr>
          <w:b/>
          <w:bCs/>
        </w:rP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(OpenZeppelin Contracts-Library component) and</w:t>
      </w:r>
      <w:r>
        <w:t xml:space="preserve"> </w:t>
      </w:r>
      <w:r>
        <w:rPr>
          <w:b/>
          <w:bCs/>
        </w:rPr>
        <w:t xml:space="preserve">USDCx</w:t>
      </w:r>
      <w:r>
        <w:t xml:space="preserve"> </w:t>
      </w:r>
      <w:r>
        <w:t xml:space="preserve">(external</w:t>
      </w:r>
      <w:r>
        <w:t xml:space="preserve"> </w:t>
      </w:r>
      <w:r>
        <w:t xml:space="preserve">Canton ecosystem stablecoin). See §6.2 and Open Questions.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(a CoinStats "fundamental analysis" page,</w:t>
      </w:r>
      <w:r>
        <w:t xml:space="preserve"> </w:t>
      </w:r>
      <w:r>
        <w:rPr>
          <w:rStyle w:val="VerbatimChar"/>
        </w:rPr>
        <w:t xml:space="preserve">srikanth-bitdynamics</w:t>
      </w:r>
      <w:r>
        <w:t xml:space="preserve"> </w:t>
      </w:r>
      <w:r>
        <w:t xml:space="preserve">GitHub,</w:t>
      </w:r>
      <w:r>
        <w:t xml:space="preserve"> </w:t>
      </w:r>
      <w:r>
        <w:t xml:space="preserve">Medium posts,</w:t>
      </w:r>
      <w:r>
        <w:t xml:space="preserve"> </w:t>
      </w:r>
      <w:r>
        <w:rPr>
          <w:rStyle w:val="VerbatimChar"/>
        </w:rPr>
        <w:t xml:space="preserve">cantonecosystem.com</w:t>
      </w:r>
      <w:r>
        <w:t xml:space="preserve">, a jobs board, BitGo/DFNS docs, a</w:t>
      </w:r>
      <w:r>
        <w:t xml:space="preserve"> </w:t>
      </w:r>
      <w:r>
        <w:rPr>
          <w:rStyle w:val="VerbatimChar"/>
        </w:rPr>
        <w:t xml:space="preserve">universal-verify/trusted-issuer-registry</w:t>
      </w:r>
      <w:r>
        <w:t xml:space="preserve"> </w:t>
      </w:r>
      <w:r>
        <w:t xml:space="preserve">repo, QuillAudits, and others) as</w:t>
      </w:r>
      <w:r>
        <w:t xml:space="preserve"> </w:t>
      </w:r>
      <w:r>
        <w:t xml:space="preserve">authoritative sources, and an inaccurate "10-minute mining-round = transaction</w:t>
      </w:r>
      <w:r>
        <w:t xml:space="preserve"> </w:t>
      </w:r>
      <w:r>
        <w:t xml:space="preserve">signing timeout" claim. None of the URLs are part of this workspace or an</w:t>
      </w:r>
      <w:r>
        <w:t xml:space="preserve"> </w:t>
      </w:r>
      <w:r>
        <w:t xml:space="preserve">authoritative spec; they were removed and replaced with the workspace-grounded</w:t>
      </w:r>
      <w:r>
        <w:t xml:space="preserve"> </w:t>
      </w:r>
      <w:r>
        <w:t xml:space="preserve">references above, and the</w:t>
      </w:r>
      <w:r>
        <w:t xml:space="preserve"> </w:t>
      </w:r>
      <w:r>
        <w:rPr>
          <w:rStyle w:val="VerbatimChar"/>
        </w:rPr>
        <w:t xml:space="preserve">TransferPreapproval</w:t>
      </w:r>
      <w:r>
        <w:t xml:space="preserve"> </w:t>
      </w:r>
      <w:r>
        <w:t xml:space="preserve">rationale was restated as</w:t>
      </w:r>
      <w:r>
        <w:t xml:space="preserve"> </w:t>
      </w:r>
      <w:r>
        <w:t xml:space="preserve">delegated accept for offline recipients (not a timeout workaround). See the</w:t>
      </w:r>
      <w:r>
        <w:t xml:space="preserve"> </w:t>
      </w:r>
      <w:r>
        <w:t xml:space="preserve">review record in</w:t>
      </w:r>
      <w:r>
        <w:t xml:space="preserve"> </w:t>
      </w:r>
      <w:hyperlink r:id="rId55">
        <w:r>
          <w:rPr>
            <w:rStyle w:val="VerbatimChar"/>
          </w:rPr>
          <w:t xml:space="preserve">../reviews/2026-06-24T22-57-44Z_REVIEW.md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Re-review 2026-06-25 (expert "blueprint" pass):</w:t>
      </w:r>
      <w:r>
        <w:t xml:space="preserve"> </w:t>
      </w:r>
      <w:r>
        <w:t xml:space="preserve">the second expert draft's</w:t>
      </w:r>
      <w:r>
        <w:t xml:space="preserve"> </w:t>
      </w:r>
      <w:r>
        <w:t xml:space="preserve">§9 (Cross-Chain Stablecoin) was assessed. Integrated: the §7.4 V2</w:t>
      </w:r>
      <w:r>
        <w:t xml:space="preserve"> </w:t>
      </w:r>
      <w:r>
        <w:t xml:space="preserve">transfer-events reconciliation note (</w:t>
      </w:r>
      <w:r>
        <w:rPr>
          <w:rStyle w:val="VerbatimChar"/>
        </w:rPr>
        <w:t xml:space="preserve">Splice.Api.Token.TransferEventsV2</w:t>
      </w:r>
      <w:r>
        <w:t xml:space="preserve">,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), the §9 expired/unsettled-allocation lifecycle open question</w:t>
      </w:r>
      <w:r>
        <w:t xml:space="preserve"> </w:t>
      </w:r>
      <w:r>
        <w:t xml:space="preserve">(upstream cancel/withdraw/reject vs. the local scaffold's absence of one), and</w:t>
      </w:r>
      <w:r>
        <w:t xml:space="preserve"> </w:t>
      </w:r>
      <w:r>
        <w:t xml:space="preserve">the §3 retroactive-interface-instance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note (suite-consistent with</w:t>
      </w:r>
      <w:r>
        <w:t xml:space="preserve"> </w:t>
      </w:r>
      <w:r>
        <w:t xml:space="preserve">RI 1/2). Rejected:</w:t>
      </w:r>
      <w:r>
        <w:t xml:space="preserve"> </w:t>
      </w:r>
      <w:r>
        <w:rPr>
          <w:b/>
          <w:bCs/>
        </w:rPr>
        <w:t xml:space="preserve">CIP-86 as an "Ethereum JSON-RPC / MetaMask facade"</w:t>
      </w:r>
      <w:r>
        <w:t xml:space="preserve"> </w:t>
      </w:r>
      <w:r>
        <w:t xml:space="preserve">(CIP-86</w:t>
      </w:r>
      <w:r>
        <w:t xml:space="preserve"> </w:t>
      </w:r>
      <w:r>
        <w:t xml:space="preserve">is an ERC-20 middleware &amp; distributed indexer per</w:t>
      </w:r>
      <w:r>
        <w:t xml:space="preserve"> </w:t>
      </w:r>
      <w:r>
        <w:rPr>
          <w:rStyle w:val="VerbatimChar"/>
        </w:rPr>
        <w:t xml:space="preserve">cip0086-cip0103-cip0104-m1-acceptance.md</w:t>
      </w:r>
      <w:r>
        <w:t xml:space="preserve">, and is out of this RI's scope — the</w:t>
      </w:r>
      <w:r>
        <w:t xml:space="preserve"> </w:t>
      </w:r>
      <w:r>
        <w:t xml:space="preserve">report does not adopt the facade framing); fabricated</w:t>
      </w:r>
      <w:r>
        <w:t xml:space="preserve"> </w:t>
      </w:r>
      <w:r>
        <w:rPr>
          <w:rStyle w:val="VerbatimChar"/>
        </w:rPr>
        <w:t xml:space="preserve">AmuletAllocationV2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TransferInstructionV2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AllocationV2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AllocationRequestV2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HoldingV2</w:t>
      </w:r>
      <w:r>
        <w:t xml:space="preserve"> </w:t>
      </w:r>
      <w:r>
        <w:t xml:space="preserve">exist, as upstream</w:t>
      </w:r>
      <w:r>
        <w:t xml:space="preserve"> </w:t>
      </w:r>
      <w:r>
        <w:rPr>
          <w:rStyle w:val="VerbatimChar"/>
        </w:rPr>
        <w:t xml:space="preserve">Splice.Api.Token.*</w:t>
      </w:r>
      <w:r>
        <w:t xml:space="preserve"> </w:t>
      </w:r>
      <w:r>
        <w:t xml:space="preserve">imports — the RI uses the local spine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); the claim that</w:t>
      </w:r>
      <w:r>
        <w:t xml:space="preserve"> </w:t>
      </w:r>
      <w:r>
        <w:rPr>
          <w:b/>
          <w:bCs/>
        </w:rPr>
        <w:t xml:space="preserve">Wormhole / LayerZero "exist as SVs on the Canton</w:t>
      </w:r>
      <w:r>
        <w:rPr>
          <w:b/>
          <w:bCs/>
        </w:rPr>
        <w:t xml:space="preserve"> </w:t>
      </w:r>
      <w:r>
        <w:rPr>
          <w:b/>
          <w:bCs/>
        </w:rPr>
        <w:t xml:space="preserve">Network"</w:t>
      </w:r>
      <w:r>
        <w:t xml:space="preserve"> </w:t>
      </w:r>
      <w:r>
        <w:t xml:space="preserve">(unverifiable; the gateway stays a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mock); the</w:t>
      </w:r>
      <w:r>
        <w:t xml:space="preserve"> </w:t>
      </w:r>
      <w:r>
        <w:rPr>
          <w:rStyle w:val="VerbatimChar"/>
        </w:rPr>
        <w:t xml:space="preserve">BatchingUtility_MergeHoldings</w:t>
      </w:r>
      <w:r>
        <w:t xml:space="preserve"> </w:t>
      </w:r>
      <w:r>
        <w:t xml:space="preserve">utility (fabricated; the report's</w:t>
      </w:r>
      <w:r>
        <w:t xml:space="preserve"> </w:t>
      </w:r>
      <w:r>
        <w:t xml:space="preserve">fragmentation mitigation is the spine's iterated-settlement change-merge, not a</w:t>
      </w:r>
      <w:r>
        <w:t xml:space="preserve"> </w:t>
      </w:r>
      <w:r>
        <w:t xml:space="preserve">named utility); and the OCC / FDICIA / SOX external-citation set. Record:</w:t>
      </w:r>
      <w:r>
        <w:t xml:space="preserve"> </w:t>
      </w:r>
      <w:hyperlink r:id="rId56">
        <w:r>
          <w:rPr>
            <w:rStyle w:val="VerbatimChar"/>
          </w:rPr>
          <w:t xml:space="preserve">../reviews/2026-06-25T02-29-08Z_REVIEW.md</w:t>
        </w:r>
      </w:hyperlink>
      <w:r>
        <w:t xml:space="preserve">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53" Target="../../AGENTS.md" TargetMode="External" /><Relationship Type="http://schemas.openxmlformats.org/officeDocument/2006/relationships/hyperlink" Id="rId12" Target="../../M4_STABLECOIN_SCOPE.md" TargetMode="External" /><Relationship Type="http://schemas.openxmlformats.org/officeDocument/2006/relationships/hyperlink" Id="rId52" Target="../../PLAN.md" TargetMode="External" /><Relationship Type="http://schemas.openxmlformats.org/officeDocument/2006/relationships/hyperlink" Id="rId54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55" Target="../reviews/2026-06-24T22-57-44Z_REVIEW.md" TargetMode="External" /><Relationship Type="http://schemas.openxmlformats.org/officeDocument/2006/relationships/hyperlink" Id="rId56" Target="../reviews/2026-06-25T02-29-08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49" Target="./01-dex.md" TargetMode="External" /><Relationship Type="http://schemas.openxmlformats.org/officeDocument/2006/relationships/hyperlink" Id="rId50" Target="./02-lending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../AGENTS.md" TargetMode="External" /><Relationship Type="http://schemas.openxmlformats.org/officeDocument/2006/relationships/hyperlink" Id="rId12" Target="../../M4_STABLECOIN_SCOPE.md" TargetMode="External" /><Relationship Type="http://schemas.openxmlformats.org/officeDocument/2006/relationships/hyperlink" Id="rId52" Target="../../PLAN.md" TargetMode="External" /><Relationship Type="http://schemas.openxmlformats.org/officeDocument/2006/relationships/hyperlink" Id="rId54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55" Target="../reviews/2026-06-24T22-57-44Z_REVIEW.md" TargetMode="External" /><Relationship Type="http://schemas.openxmlformats.org/officeDocument/2006/relationships/hyperlink" Id="rId56" Target="../reviews/2026-06-25T02-29-08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49" Target="./01-dex.md" TargetMode="External" /><Relationship Type="http://schemas.openxmlformats.org/officeDocument/2006/relationships/hyperlink" Id="rId50" Target="./02-lending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2026-06-25T03:33:45Z</dcterms:created>
  <dcterms:modified xsi:type="dcterms:W3CDTF">2026-06-25T03:33:45Z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