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CONFIDENTIAL — OpenZeppelin internal · non-public reference design · not for external distribution</w:t>
      </w:r>
    </w:p>
    <w:bookmarkStart w:id="60" w:name="X011f8e897d551f4b2e1db6d2c29467f9f0b3128"/>
    <w:p>
      <w:pPr>
        <w:pStyle w:val="Heading1"/>
      </w:pPr>
      <w:r>
        <w:t xml:space="preserve">Architectural Overview Report: Confidential Auction Launchpad on Canton</w:t>
      </w:r>
    </w:p>
    <w:p>
      <w:pPr>
        <w:pStyle w:val="FirstParagraph"/>
      </w:pPr>
      <w:r>
        <w:t xml:space="preserve">Status:</w:t>
      </w:r>
      <w:r>
        <w:t xml:space="preserve"> </w:t>
      </w:r>
      <w:r>
        <w:rPr>
          <w:b/>
          <w:bCs/>
        </w:rPr>
        <w:t xml:space="preserve">reviewed reference-design report</w:t>
      </w:r>
      <w:r>
        <w:t xml:space="preserve">, non-public, outside the committed</w:t>
      </w:r>
      <w:r>
        <w:t xml:space="preserve"> </w:t>
      </w:r>
      <w:r>
        <w:t xml:space="preserve">M1 public-library surface. This is RI #4 of four — see the suite-level view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and the index</w:t>
      </w:r>
      <w:r>
        <w:t xml:space="preserve"> </w:t>
      </w:r>
      <w:hyperlink r:id="rId10">
        <w:r>
          <w:rPr>
            <w:rStyle w:val="VerbatimChar"/>
          </w:rPr>
          <w:t xml:space="preserve">README.md</w:t>
        </w:r>
      </w:hyperlink>
      <w:r>
        <w:t xml:space="preserve">. It describes a</w:t>
      </w:r>
      <w:r>
        <w:t xml:space="preserve"> </w:t>
      </w:r>
      <w:r>
        <w:rPr>
          <w:i/>
          <w:iCs/>
        </w:rPr>
        <w:t xml:space="preserve">reference design</w:t>
      </w:r>
      <w:r>
        <w:t xml:space="preserve"> </w:t>
      </w:r>
      <w:r>
        <w:t xml:space="preserve">grounded in the</w:t>
      </w:r>
      <w:r>
        <w:t xml:space="preserve"> </w:t>
      </w:r>
      <w:r>
        <w:t xml:space="preserve">real OpenZeppelin Canton components in this workspace;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claim of</w:t>
      </w:r>
      <w:r>
        <w:t xml:space="preserve"> </w:t>
      </w:r>
      <w:r>
        <w:t xml:space="preserve">M1/M4 acceptance, conformance, audit readiness, or production readiness.</w:t>
      </w:r>
    </w:p>
    <w:p>
      <w:pPr>
        <w:pStyle w:val="BlockText"/>
      </w:pPr>
      <w:r>
        <w:rPr>
          <w:b/>
          <w:bCs/>
        </w:rPr>
        <w:t xml:space="preserve">Google Docs import:</w:t>
      </w:r>
      <w:r>
        <w:t xml:space="preserve"> </w:t>
      </w:r>
      <w:r>
        <w:rPr>
          <w:rStyle w:val="VerbatimChar"/>
        </w:rPr>
        <w:t xml:space="preserve">File → Open</w:t>
      </w:r>
      <w:r>
        <w:t xml:space="preserve"> </w:t>
      </w:r>
      <w:r>
        <w:t xml:space="preserve">this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in Docs (or paste with</w:t>
      </w:r>
      <w:r>
        <w:t xml:space="preserve"> </w:t>
      </w:r>
      <w:r>
        <w:rPr>
          <w:rStyle w:val="VerbatimChar"/>
        </w:rPr>
        <w:t xml:space="preserve">Edit → Paste</w:t>
      </w:r>
      <w:r>
        <w:t xml:space="preserve">). H1/H2/H3 headings drive the Docs outline pane; the tables</w:t>
      </w:r>
      <w:r>
        <w:t xml:space="preserve"> </w:t>
      </w:r>
      <w:r>
        <w:t xml:space="preserve">import cleanly; apply a monospace paragraph style to fenced code blocks after</w:t>
      </w:r>
      <w:r>
        <w:t xml:space="preserve"> </w:t>
      </w:r>
      <w:r>
        <w:t xml:space="preserve">import. Mermaid blocks do not render in Docs — render them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 </w:t>
      </w:r>
      <w:r>
        <w:t xml:space="preserve">and paste the image, keeping the fenced source.</w:t>
      </w:r>
    </w:p>
    <w:p>
      <w:pPr>
        <w:pStyle w:val="BlockText"/>
      </w:pPr>
      <w:r>
        <w:rPr>
          <w:b/>
          <w:bCs/>
        </w:rPr>
        <w:t xml:space="preserve">Source-grounding tags</w:t>
      </w:r>
      <w:r>
        <w:t xml:space="preserve"> </w:t>
      </w:r>
      <w:r>
        <w:t xml:space="preserve">(used throughout):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real code in the M1 library base (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canton-contracts</w:t>
      </w:r>
      <w:r>
        <w:t xml:space="preserve">) ·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real code in an evidence repo</w:t>
      </w:r>
      <w:r>
        <w:t xml:space="preserve"> </w:t>
      </w:r>
      <w:r>
        <w:t xml:space="preserve">(</w:t>
      </w:r>
      <w:r>
        <w:rPr>
          <w:rStyle w:val="VerbatimChar"/>
        </w:rPr>
        <w:t xml:space="preserve">canton-token-template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,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), not</w:t>
      </w:r>
      <w:r>
        <w:t xml:space="preserve"> </w:t>
      </w:r>
      <w:r>
        <w:t xml:space="preserve">the M1 surface ·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Splice / CIP reference, not vendored here ·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 </w:t>
      </w:r>
      <w:r>
        <w:t xml:space="preserve">proposed RI-level design, not built in M1 scope.</w:t>
      </w:r>
    </w:p>
    <w:p>
      <w:pPr>
        <w:pStyle w:val="BlockText"/>
      </w:pPr>
      <w:r>
        <w:rPr>
          <w:b/>
          <w:bCs/>
        </w:rPr>
        <w:t xml:space="preserve">Design priority order</w:t>
      </w:r>
      <w:r>
        <w:t xml:space="preserve"> </w:t>
      </w:r>
      <w:r>
        <w:t xml:space="preserve">governs every interface and snippet, in this exact</w:t>
      </w:r>
      <w:r>
        <w:t xml:space="preserve"> </w:t>
      </w:r>
      <w:r>
        <w:t xml:space="preserve">order:</w:t>
      </w:r>
      <w:r>
        <w:t xml:space="preserve"> </w:t>
      </w:r>
      <w:r>
        <w:rPr>
          <w:b/>
          <w:bCs/>
        </w:rPr>
        <w:t xml:space="preserve">1) Readability → 2) Simplicity → 3) Security → 4) Auditability.</w:t>
      </w:r>
    </w:p>
    <w:p>
      <w:pPr>
        <w:pStyle w:val="BlockText"/>
      </w:pPr>
      <w:r>
        <w:rPr>
          <w:b/>
          <w:bCs/>
        </w:rPr>
        <w:t xml:space="preserve">Grant alignment</w:t>
      </w:r>
      <w:r>
        <w:t xml:space="preserve"> </w:t>
      </w:r>
      <w:r>
        <w:t xml:space="preserve">(source of truth:</w:t>
      </w:r>
      <w:r>
        <w:t xml:space="preserve"> </w:t>
      </w:r>
      <w:hyperlink r:id="rId11">
        <w:r>
          <w:rPr>
            <w:rStyle w:val="VerbatimChar"/>
          </w:rPr>
          <w:t xml:space="preserve">../research/canton-ecosystem-grant-proposal.md</w:t>
        </w:r>
      </w:hyperlink>
      <w:r>
        <w:t xml:space="preserve">,</w:t>
      </w:r>
      <w:r>
        <w:t xml:space="preserve"> </w:t>
      </w:r>
      <w:r>
        <w:t xml:space="preserve">scope lock:</w:t>
      </w:r>
      <w:r>
        <w:t xml:space="preserve"> </w:t>
      </w:r>
      <w:hyperlink r:id="rId12">
        <w:r>
          <w:rPr>
            <w:rStyle w:val="VerbatimChar"/>
          </w:rPr>
          <w:t xml:space="preserve">../../M4_AUCTION_SCOPE.md</w:t>
        </w:r>
      </w:hyperlink>
      <w:r>
        <w:t xml:space="preserve">): this is</w:t>
      </w:r>
      <w:r>
        <w:t xml:space="preserve"> </w:t>
      </w:r>
      <w:r>
        <w:rPr>
          <w:b/>
          <w:bCs/>
        </w:rPr>
        <w:t xml:space="preserve">RI #4 (Confidential Auction Launchpad)</w:t>
      </w:r>
      <w:r>
        <w:t xml:space="preserve">. This document is the</w:t>
      </w:r>
      <w:r>
        <w:t xml:space="preserve"> </w:t>
      </w:r>
      <w:r>
        <w:rPr>
          <w:b/>
          <w:bCs/>
        </w:rPr>
        <w:t xml:space="preserve">Architecture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Documentation</w:t>
      </w:r>
      <w:r>
        <w:t xml:space="preserve"> </w:t>
      </w:r>
      <w:r>
        <w:t xml:space="preserve">deliverable, authored in</w:t>
      </w:r>
      <w:r>
        <w:t xml:space="preserve"> </w:t>
      </w:r>
      <w:r>
        <w:rPr>
          <w:b/>
          <w:bCs/>
        </w:rPr>
        <w:t xml:space="preserve">grant M1</w:t>
      </w:r>
      <w:r>
        <w:t xml:space="preserve"> </w:t>
      </w:r>
      <w:r>
        <w:t xml:space="preserve">(research &amp; design) for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implementation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grant M4</w:t>
      </w:r>
      <w:r>
        <w:t xml:space="preserve"> </w:t>
      </w:r>
      <w:r>
        <w:t xml:space="preserve">(Q4 2026, end Year 1, alongside RI 3).</w:t>
      </w:r>
      <w:r>
        <w:t xml:space="preserve"> </w:t>
      </w:r>
      <w:r>
        <w:t xml:space="preserve">Companion deliverables — working reference code, demo front-end, threat model</w:t>
      </w:r>
      <w:r>
        <w:t xml:space="preserve"> </w:t>
      </w:r>
      <w:r>
        <w:t xml:space="preserve">— are</w:t>
      </w:r>
      <w:r>
        <w:t xml:space="preserve"> </w:t>
      </w:r>
      <w:r>
        <w:rPr>
          <w:b/>
          <w:bCs/>
        </w:rPr>
        <w:t xml:space="preserve">named here but delivered in M4</w:t>
      </w:r>
      <w:r>
        <w:t xml:space="preserve"> </w:t>
      </w:r>
      <w:r>
        <w:t xml:space="preserve">(MIT-licensed). The report honors the</w:t>
      </w:r>
      <w:r>
        <w:t xml:space="preserve"> </w:t>
      </w:r>
      <w:r>
        <w:rPr>
          <w:b/>
          <w:bCs/>
        </w:rPr>
        <w:t xml:space="preserve">CIP-56 → CIP-0112 / Token Standard V2 retarget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6" w:name="Xcc952582605ac7fe4410949cdf82e28a92b31f4"/>
    <w:p>
      <w:pPr>
        <w:pStyle w:val="Heading2"/>
      </w:pPr>
      <w:r>
        <w:t xml:space="preserve">1. Product Definition</w:t>
      </w:r>
    </w:p>
    <w:p>
      <w:pPr>
        <w:pStyle w:val="FirstParagraph"/>
      </w:pPr>
      <w:r>
        <w:t xml:space="preserve">The Confidential Auction Launchpad is a reference implementation for</w:t>
      </w:r>
      <w:r>
        <w:t xml:space="preserve"> </w:t>
      </w:r>
      <w:r>
        <w:t xml:space="preserve">institutional, regulated, confidential token distribution (ICOs) on Canton. It</w:t>
      </w:r>
      <w:r>
        <w:t xml:space="preserve"> </w:t>
      </w:r>
      <w:r>
        <w:t xml:space="preserve">leverages Canton's sub-transaction privacy and the</w:t>
      </w:r>
      <w:r>
        <w:t xml:space="preserve"> </w:t>
      </w:r>
      <w:r>
        <w:rPr>
          <w:b/>
          <w:bCs/>
        </w:rPr>
        <w:t xml:space="preserve">CIP-0112 / Token Standard</w:t>
      </w:r>
      <w:r>
        <w:rPr>
          <w:b/>
          <w:bCs/>
        </w:rPr>
        <w:t xml:space="preserve"> </w:t>
      </w:r>
      <w:r>
        <w:rPr>
          <w:b/>
          <w:bCs/>
        </w:rPr>
        <w:t xml:space="preserve">V2 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to establish a</w:t>
      </w:r>
      <w:r>
        <w:t xml:space="preserve"> </w:t>
      </w:r>
      <w:r>
        <w:rPr>
          <w:b/>
          <w:bCs/>
        </w:rPr>
        <w:t xml:space="preserve">sealed-bid</w:t>
      </w:r>
      <w:r>
        <w:t xml:space="preserve"> </w:t>
      </w:r>
      <w:r>
        <w:t xml:space="preserve">environment</w:t>
      </w:r>
      <w:r>
        <w:t xml:space="preserve"> </w:t>
      </w:r>
      <w:r>
        <w:rPr>
          <w:b/>
          <w:bCs/>
        </w:rPr>
        <w:t xml:space="preserve">by protocol design</w:t>
      </w:r>
      <w:r>
        <w:t xml:space="preserve"> </w:t>
      </w:r>
      <w:r>
        <w:t xml:space="preserve">rather than cryptographic obfuscation: bids, allocations,</w:t>
      </w:r>
      <w:r>
        <w:t xml:space="preserve"> </w:t>
      </w:r>
      <w:r>
        <w:t xml:space="preserve">and settlement details are visible only to explicitly authorized parties via</w:t>
      </w:r>
      <w:r>
        <w:t xml:space="preserve"> </w:t>
      </w:r>
      <w:r>
        <w:t xml:space="preserve">native ledger projection.</w:t>
      </w:r>
    </w:p>
    <w:bookmarkStart w:id="13" w:name="X32876ab7a7ff4ab848825dc1aaf2f6e84c6a18f"/>
    <w:p>
      <w:pPr>
        <w:pStyle w:val="Heading3"/>
      </w:pPr>
      <w:r>
        <w:t xml:space="preserve">1.1 Educational Framing: Sealed-bid via projection, not commit-reveal</w:t>
      </w:r>
    </w:p>
    <w:p>
      <w:pPr>
        <w:pStyle w:val="FirstParagraph"/>
      </w:pPr>
      <w:r>
        <w:t xml:space="preserve">On public ledgers, sealed-bid auctions use a commit-reveal pattern: publish a</w:t>
      </w:r>
      <w:r>
        <w:t xml:space="preserve"> </w:t>
      </w:r>
      <w:r>
        <w:t xml:space="preserve">hash of the bid to a globally visible mempool/ledger, then reveal the plaintext</w:t>
      </w:r>
      <w:r>
        <w:t xml:space="preserve"> </w:t>
      </w:r>
      <w:r>
        <w:t xml:space="preserve">later — adding UX friction, non-revelation risk, and exposure to metadata/timing</w:t>
      </w:r>
      <w:r>
        <w:t xml:space="preserve"> </w:t>
      </w:r>
      <w:r>
        <w:t xml:space="preserve">analysis. On Canton, privacy is</w:t>
      </w:r>
      <w:r>
        <w:t xml:space="preserve"> </w:t>
      </w:r>
      <w:r>
        <w:rPr>
          <w:b/>
          <w:bCs/>
        </w:rPr>
        <w:t xml:space="preserve">per-party projection</w:t>
      </w:r>
      <w:r>
        <w:t xml:space="preserve">: a contract is visible</w:t>
      </w:r>
      <w:r>
        <w:t xml:space="preserve"> </w:t>
      </w:r>
      <w:r>
        <w:t xml:space="preserve">only to its signatories/observers, and a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signatory bidder, observer auctioneer</w:t>
      </w:r>
      <w:r>
        <w:t xml:space="preserve"> </w:t>
      </w:r>
      <w:r>
        <w:t xml:space="preserve">materializes only on those two parties' nodes. The</w:t>
      </w:r>
      <w:r>
        <w:t xml:space="preserve"> </w:t>
      </w:r>
      <w:r>
        <w:t xml:space="preserve">synchronizer's sequencer orders the transaction by its confirmation-tree shape</w:t>
      </w:r>
      <w:r>
        <w:t xml:space="preserve"> </w:t>
      </w:r>
      <w:r>
        <w:t xml:space="preserve">but does not see the bid plaintext, so the sealed-bid property is achieved</w:t>
      </w:r>
      <w:r>
        <w:t xml:space="preserve"> </w:t>
      </w:r>
      <w:r>
        <w:t xml:space="preserve">without commit-reveal and front-running is structurally prevented. If an</w:t>
      </w:r>
      <w:r>
        <w:t xml:space="preserve"> </w:t>
      </w:r>
      <w:r>
        <w:t xml:space="preserve">institution wants protection against the auctioneer too, a commit-reveal hash</w:t>
      </w:r>
      <w:r>
        <w:t xml:space="preserve"> </w:t>
      </w:r>
      <w:r>
        <w:t xml:space="preserve">can be layered onto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as a non-breaking SCU extension — but native</w:t>
      </w:r>
      <w:r>
        <w:t xml:space="preserve"> </w:t>
      </w:r>
      <w:r>
        <w:t xml:space="preserve">projection privacy suffices for the stated scope.</w:t>
      </w:r>
    </w:p>
    <w:bookmarkEnd w:id="13"/>
    <w:bookmarkStart w:id="14" w:name="Xead53e1431b564a9216429743b3a4b7fee5523b"/>
    <w:p>
      <w:pPr>
        <w:pStyle w:val="Heading3"/>
      </w:pPr>
      <w:r>
        <w:t xml:space="preserve">1.2 In-Scope vs. Out-of-Scope</w:t>
      </w:r>
    </w:p>
    <w:p>
      <w:pPr>
        <w:pStyle w:val="FirstParagraph"/>
      </w:pPr>
      <w:r>
        <w:t xml:space="preserve">The bias favors a clean, singular sealed-bid core over expansive market</w:t>
      </w:r>
      <w:r>
        <w:t xml:space="preserve"> </w:t>
      </w:r>
      <w:r>
        <w:t xml:space="preserve">mechanics.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In-Scope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 mechanism</w:t>
            </w:r>
          </w:p>
        </w:tc>
        <w:tc>
          <w:tcPr/>
          <w:p>
            <w:pPr>
              <w:pStyle w:val="Compact"/>
            </w:pPr>
            <w:r>
              <w:t xml:space="preserve">Single-round</w:t>
            </w:r>
            <w:r>
              <w:t xml:space="preserve"> </w:t>
            </w:r>
            <w:r>
              <w:rPr>
                <w:b/>
                <w:bCs/>
              </w:rPr>
              <w:t xml:space="preserve">sealed-bid</w:t>
            </w:r>
            <w:r>
              <w:t xml:space="preserve">; first-price default, second-price as a parameterization computed by the auctioneer's off-ledger pricing engine.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Bid isolation via per-party projection — bidder, issuer/auctioneer, and the credential verifier only; no bidder projects competitor bids.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Escrow</w:t>
            </w:r>
          </w:p>
        </w:tc>
        <w:tc>
          <w:tcPr/>
          <w:p>
            <w:pPr>
              <w:pStyle w:val="Compact"/>
            </w:pPr>
            <w:r>
              <w:t xml:space="preserve">Locked escrow via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; funds cryptographically bound to the settlement outcome.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Atomic settlement</w:t>
            </w:r>
          </w:p>
        </w:tc>
        <w:tc>
          <w:tcPr/>
          <w:p>
            <w:pPr>
              <w:pStyle w:val="Compact"/>
            </w:pPr>
            <w:r>
              <w:t xml:space="preserve">Token-for-payment exchange</w:t>
            </w:r>
            <w:r>
              <w:t xml:space="preserve"> </w:t>
            </w:r>
            <w:r>
              <w:rPr>
                <w:b/>
                <w:bCs/>
              </w:rPr>
              <w:t xml:space="preserve">only</w:t>
            </w:r>
            <w:r>
              <w:t xml:space="preserve"> </w:t>
            </w:r>
            <w:r>
              <w:t xml:space="preserve">via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SettlementFactory_SettleBatch</w:t>
            </w:r>
            <w:r>
              <w:t xml:space="preserve"> </w:t>
            </w:r>
            <w:r>
              <w:t xml:space="preserve">(atomic DvP, single transaction).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gating</w:t>
            </w:r>
          </w:p>
        </w:tc>
        <w:tc>
          <w:tcPr/>
          <w:p>
            <w:pPr>
              <w:pStyle w:val="Compact"/>
            </w:pPr>
            <w:r>
              <w:t xml:space="preserve">Credential-gated participation via</w:t>
            </w:r>
            <w:r>
              <w:t xml:space="preserve"> </w:t>
            </w:r>
            <w:r>
              <w:rPr>
                <w:rStyle w:val="VerbatimChar"/>
              </w:rPr>
              <w:t xml:space="preserve">zk-credential-gateway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Authority</w:t>
            </w:r>
          </w:p>
        </w:tc>
        <w:tc>
          <w:tcPr/>
          <w:p>
            <w:pPr>
              <w:pStyle w:val="Compact"/>
            </w:pPr>
            <w:r>
              <w:t xml:space="preserve">Single-admin capability via</w:t>
            </w:r>
            <w:r>
              <w:t xml:space="preserve"> </w:t>
            </w:r>
            <w:r>
              <w:rPr>
                <w:rStyle w:val="VerbatimChar"/>
              </w:rPr>
              <w:t xml:space="preserve">oz-access-control</w:t>
            </w:r>
            <w:r>
              <w:t xml:space="preserve"> </w:t>
            </w:r>
            <w:r>
              <w:t xml:space="preserve">(mint/burn/seizure).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D1 node-applied checks (Shape B) on every settlement leg, fail-closed.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 Category</w:t>
            </w:r>
          </w:p>
        </w:tc>
        <w:tc>
          <w:tcPr/>
          <w:p>
            <w:pPr>
              <w:pStyle w:val="Compact"/>
            </w:pPr>
            <w:r>
              <w:t xml:space="preserve">Out-of-Scope (Excluded)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Continuous issuance</w:t>
            </w:r>
          </w:p>
        </w:tc>
        <w:tc>
          <w:tcPr/>
          <w:p>
            <w:pPr>
              <w:pStyle w:val="Compact"/>
            </w:pPr>
            <w:r>
              <w:t xml:space="preserve">Streaming launches, continuous funding, persistent issuance — discrete finalized rounds only.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Algorithmic pricing</w:t>
            </w:r>
          </w:p>
        </w:tc>
        <w:tc>
          <w:tcPr/>
          <w:p>
            <w:pPr>
              <w:pStyle w:val="Compact"/>
            </w:pPr>
            <w:r>
              <w:t xml:space="preserve">Bonding curves, dynamic-price Dutch auctions (settlement spine could host them later, not core).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market</w:t>
            </w:r>
          </w:p>
        </w:tc>
        <w:tc>
          <w:tcPr/>
          <w:p>
            <w:pPr>
              <w:pStyle w:val="Compact"/>
            </w:pPr>
            <w:r>
              <w:t xml:space="preserve">AMM / order-book / post-auction liquidity — that is the DEX RI.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Derivatives &amp; synthetics</w:t>
            </w:r>
          </w:p>
        </w:tc>
        <w:tc>
          <w:tcPr/>
          <w:p>
            <w:pPr>
              <w:pStyle w:val="Compact"/>
            </w:pPr>
            <w:r>
              <w:t xml:space="preserve">Options/futures/synthetics of the launched token.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On-ledger clearing math</w:t>
            </w:r>
          </w:p>
        </w:tc>
        <w:tc>
          <w:tcPr/>
          <w:p>
            <w:pPr>
              <w:pStyle w:val="Compact"/>
            </w:pPr>
            <w:r>
              <w:t xml:space="preserve">Sorting/clearing runs</w:t>
            </w:r>
            <w:r>
              <w:t xml:space="preserve"> </w:t>
            </w:r>
            <w:r>
              <w:rPr>
                <w:b/>
                <w:bCs/>
              </w:rPr>
              <w:t xml:space="preserve">off-ledger</w:t>
            </w:r>
            <w:r>
              <w:t xml:space="preserve">; only finalized, conservation-sound match legs settle on-ledger.</w:t>
            </w:r>
          </w:p>
        </w:tc>
      </w:tr>
    </w:tbl>
    <w:bookmarkEnd w:id="14"/>
    <w:bookmarkStart w:id="15" w:name="X4c5d7d0a2b2b46ef914284cf0035b20ce1ba4f3"/>
    <w:p>
      <w:pPr>
        <w:pStyle w:val="Heading3"/>
      </w:pPr>
      <w:r>
        <w:t xml:space="preserve">1.3 Target Users</w:t>
      </w:r>
    </w:p>
    <w:p>
      <w:pPr>
        <w:pStyle w:val="FirstParagraph"/>
      </w:pPr>
      <w:r>
        <w:t xml:space="preserve">Institutional asset issuers, regulated launchpad operators, and accredited</w:t>
      </w:r>
      <w:r>
        <w:t xml:space="preserve"> </w:t>
      </w:r>
      <w:r>
        <w:t xml:space="preserve">investors in compliant jurisdictions. Issuers get fair distribution free of</w:t>
      </w:r>
      <w:r>
        <w:t xml:space="preserve"> </w:t>
      </w:r>
      <w:r>
        <w:t xml:space="preserve">front-running / bid manipulation / MEV, with KYC/AML/accreditation enforced via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. Bidders get confidentiality of intent, atomic</w:t>
      </w:r>
      <w:r>
        <w:t xml:space="preserve"> </w:t>
      </w:r>
      <w:r>
        <w:t xml:space="preserve">return-to-sender for losing bids (no counterparty credit risk), and capital that</w:t>
      </w:r>
      <w:r>
        <w:t xml:space="preserve"> </w:t>
      </w:r>
      <w:r>
        <w:t xml:space="preserve">can move only per their signed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09f531ea831262c8823f074014ceb66eca72b14"/>
    <w:p>
      <w:pPr>
        <w:pStyle w:val="Heading2"/>
      </w:pPr>
      <w:r>
        <w:t xml:space="preserve">2. Architecture Overview</w:t>
      </w:r>
    </w:p>
    <w:p>
      <w:pPr>
        <w:pStyle w:val="FirstParagraph"/>
      </w:pPr>
      <w:r>
        <w:t xml:space="preserve">Strictly modular: access control, asset semantics, auction logic, and terminal</w:t>
      </w:r>
      <w:r>
        <w:t xml:space="preserve"> </w:t>
      </w:r>
      <w:r>
        <w:t xml:space="preserve">settlement are distinct layers, so the settlement spine stays sealed while</w:t>
      </w:r>
      <w:r>
        <w:t xml:space="preserve"> </w:t>
      </w:r>
      <w:r>
        <w:t xml:space="preserve">auction mechanics can be upgraded or substituted.</w:t>
      </w:r>
    </w:p>
    <w:bookmarkStart w:id="17" w:name="X78939a956b178884ccca5e36cf93bd483b825db"/>
    <w:p>
      <w:pPr>
        <w:pStyle w:val="Heading3"/>
      </w:pPr>
      <w:r>
        <w:t xml:space="preserve">2.1 Component Utilization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RoleGrant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DefaultAdminTransferOffer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requireRole</w:t>
      </w:r>
      <w:r>
        <w:t xml:space="preserve">;</w:t>
      </w:r>
      <w:r>
        <w:t xml:space="preserve"> </w:t>
      </w:r>
      <w:r>
        <w:rPr>
          <w:rStyle w:val="VerbatimChar"/>
        </w:rPr>
        <w:t xml:space="preserve">roleId : MyRole -&gt; Text</w:t>
      </w:r>
      <w:r>
        <w:t xml:space="preserve"> </w:t>
      </w:r>
      <w:r>
        <w:t xml:space="preserve">closed-sum wrapper) for Issuer/Auctioneer roles;</w:t>
      </w:r>
      <w:r>
        <w:t xml:space="preserve"> </w:t>
      </w:r>
      <w:r>
        <w:rPr>
          <w:rStyle w:val="VerbatimChar"/>
        </w:rPr>
        <w:t xml:space="preserve">oz-ownable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Ownership</w:t>
      </w:r>
      <w:r>
        <w:t xml:space="preserve">/</w:t>
      </w:r>
      <w:r>
        <w:rPr>
          <w:rStyle w:val="VerbatimChar"/>
        </w:rPr>
        <w:t xml:space="preserve">OwnershipOffer</w:t>
      </w:r>
      <w:r>
        <w:t xml:space="preserve">) for two-step handoff;</w:t>
      </w:r>
      <w:r>
        <w:t xml:space="preserve"> </w:t>
      </w:r>
      <w:r>
        <w:rPr>
          <w:rStyle w:val="VerbatimChar"/>
        </w:rPr>
        <w:t xml:space="preserve">oz-pausable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PauseState</w:t>
      </w:r>
      <w:r>
        <w:t xml:space="preserve">/</w:t>
      </w:r>
      <w:r>
        <w:rPr>
          <w:rStyle w:val="VerbatimChar"/>
        </w:rPr>
        <w:t xml:space="preserve">whenNotPaused</w:t>
      </w:r>
      <w:r>
        <w:t xml:space="preserve">) for the emergency halt.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Settlement spine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(</w:t>
      </w:r>
      <w:r>
        <w:rPr>
          <w:rStyle w:val="VerbatimChar"/>
        </w:rPr>
        <w:t xml:space="preserve">SettlementFactory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). Atomic DvP routes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; direct</w:t>
      </w:r>
      <w:r>
        <w:t xml:space="preserve"> </w:t>
      </w:r>
      <w:r>
        <w:rPr>
          <w:rStyle w:val="VerbatimChar"/>
        </w:rPr>
        <w:t xml:space="preserve">Allocation_Settle</w:t>
      </w:r>
      <w:r>
        <w:t xml:space="preserve"> </w:t>
      </w:r>
      <w:r>
        <w:t xml:space="preserve">is</w:t>
      </w:r>
      <w:r>
        <w:t xml:space="preserve"> </w:t>
      </w:r>
      <w:r>
        <w:t xml:space="preserve">bypassed for the exchange (it proves authorization, not multi-party atomic</w:t>
      </w:r>
      <w:r>
        <w:t xml:space="preserve"> </w:t>
      </w:r>
      <w:r>
        <w:t xml:space="preserve">co-settlement).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Assets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SimpleHolding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LockedSimpleHolding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SimpleTokenRules</w:t>
      </w:r>
      <w:r>
        <w:t xml:space="preserve"> </w:t>
      </w:r>
      <w:r>
        <w:t xml:space="preserve">3-way dispatch); the launched token</w:t>
      </w:r>
      <w:r>
        <w:t xml:space="preserve"> </w:t>
      </w:r>
      <w:r>
        <w:t xml:space="preserve">is minted via</w:t>
      </w:r>
      <w:r>
        <w:t xml:space="preserve"> </w:t>
      </w:r>
      <w:r>
        <w:rPr>
          <w:rStyle w:val="VerbatimChar"/>
        </w:rPr>
        <w:t xml:space="preserve">Rules_Mint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 </w:t>
      </w:r>
      <w:r>
        <w:t xml:space="preserve">(cold recipient → propose →</w:t>
      </w:r>
      <w:r>
        <w:t xml:space="preserve"> </w:t>
      </w:r>
      <w:r>
        <w:t xml:space="preserve">accept, honoring Canton co-authorization).</w:t>
      </w:r>
      <w:r>
        <w:t xml:space="preserve"> </w:t>
      </w:r>
      <w:r>
        <w:rPr>
          <w:rStyle w:val="VerbatimChar"/>
        </w:rPr>
        <w:t xml:space="preserve">canton-stablecoin</w:t>
      </w:r>
      <w:r>
        <w:t xml:space="preserve">'s</w:t>
      </w:r>
      <w:r>
        <w:t xml:space="preserve"> </w:t>
      </w:r>
      <w:r>
        <w:rPr>
          <w:rStyle w:val="VerbatimChar"/>
        </w:rPr>
        <w:t xml:space="preserve">Vault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VaultFactory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Vault_Liquidate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PriceOracle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excluded</w:t>
      </w:r>
      <w:r>
        <w:t xml:space="preserve"> </w:t>
      </w:r>
      <w:r>
        <w:t xml:space="preserve">(CDP</w:t>
      </w:r>
      <w:r>
        <w:t xml:space="preserve"> </w:t>
      </w:r>
      <w:r>
        <w:t xml:space="preserve">mechanics, not primary issuance).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Compliance/identity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(</w:t>
      </w:r>
      <w:r>
        <w:rPr>
          <w:rStyle w:val="VerbatimChar"/>
        </w:rPr>
        <w:t xml:space="preserve">CredentialGatedActionRequest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CredentialRevocationStatus</w:t>
      </w:r>
      <w:r>
        <w:t xml:space="preserve">); typed D3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Shape-B experiment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Attribution note: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identity-hook-shape-b types,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t xml:space="preserve">templates. The gateway supplies the gating/verification primitives.</w:t>
      </w:r>
    </w:p>
    <w:bookmarkEnd w:id="17"/>
    <w:bookmarkStart w:id="18" w:name="X46d7bb0e219744bc868304ab0842ab184b82fd3"/>
    <w:p>
      <w:pPr>
        <w:pStyle w:val="Heading3"/>
      </w:pPr>
      <w:r>
        <w:t xml:space="preserve">2.2 Party and Role Topology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Operator</w:t>
      </w:r>
      <w:r>
        <w:t xml:space="preserve"> </w:t>
      </w:r>
      <w:r>
        <w:t xml:space="preserve">— deploys the launchpad contracts and manages the</w:t>
      </w:r>
      <w:r>
        <w:t xml:space="preserve"> </w:t>
      </w:r>
      <w:r>
        <w:rPr>
          <w:rStyle w:val="VerbatimChar"/>
        </w:rPr>
        <w:t xml:space="preserve">SettlementFactory</w:t>
      </w:r>
      <w:r>
        <w:t xml:space="preserve">; operational, not financial, authority.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Issuer</w:t>
      </w:r>
      <w:r>
        <w:t xml:space="preserve"> </w:t>
      </w:r>
      <w:r>
        <w:t xml:space="preserve">— launches the token; single-admin authority; holds the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 </w:t>
      </w:r>
      <w:r>
        <w:t xml:space="preserve">(D2 seizure) and authorizes</w:t>
      </w:r>
      <w:r>
        <w:t xml:space="preserve"> </w:t>
      </w:r>
      <w:r>
        <w:rPr>
          <w:rStyle w:val="VerbatimChar"/>
        </w:rPr>
        <w:t xml:space="preserve">Rules_Mint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Auctioneer</w:t>
      </w:r>
      <w:r>
        <w:t xml:space="preserve"> </w:t>
      </w:r>
      <w:r>
        <w:t xml:space="preserve">— delegated by the Issuer via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; observes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s, runs the off-ledger clearing engine, and builds the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payload; cannot misdirect funds (constrained by the spine's</w:t>
      </w:r>
      <w:r>
        <w:t xml:space="preserve"> </w:t>
      </w:r>
      <w:r>
        <w:t xml:space="preserve">conservation invariants).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Bidder</w:t>
      </w:r>
      <w:r>
        <w:t xml:space="preserve"> </w:t>
      </w:r>
      <w:r>
        <w:t xml:space="preserve">— needs a valid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from a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; retains</w:t>
      </w:r>
      <w:r>
        <w:t xml:space="preserve"> </w:t>
      </w:r>
      <w:r>
        <w:t xml:space="preserve">control of payment assets until atomic settlement.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Verifier</w:t>
      </w:r>
      <w:r>
        <w:t xml:space="preserve"> </w:t>
      </w:r>
      <w:r>
        <w:t xml:space="preserve">— off-chain compliance entity; issues a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attesting credential validity, green-lighting participation.</w:t>
      </w:r>
    </w:p>
    <w:bookmarkEnd w:id="18"/>
    <w:bookmarkStart w:id="19" w:name="X1a50a9f4fee535d9f9549aee48a9bf5716106e1"/>
    <w:p>
      <w:pPr>
        <w:pStyle w:val="Heading3"/>
      </w:pPr>
      <w:r>
        <w:t xml:space="preserve">2.3 Trust and Topology</w:t>
      </w:r>
    </w:p>
    <w:p>
      <w:pPr>
        <w:pStyle w:val="FirstParagraph"/>
      </w:pPr>
      <w:r>
        <w:t xml:space="preserve">Each contract configures the nodes that validate it. The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's</w:t>
      </w:r>
      <w:r>
        <w:t xml:space="preserve"> </w:t>
      </w:r>
      <w:r>
        <w:rPr>
          <w:rStyle w:val="VerbatimChar"/>
        </w:rPr>
        <w:t xml:space="preserve">signatory bidder, observer auctioneer</w:t>
      </w:r>
      <w:r>
        <w:t xml:space="preserve"> </w:t>
      </w:r>
      <w:r>
        <w:t xml:space="preserve">definition routes its data only to those</w:t>
      </w:r>
      <w:r>
        <w:t xml:space="preserve"> </w:t>
      </w:r>
      <w:r>
        <w:t xml:space="preserve">parties' nodes, shielding bids from the network. Daml-LF 2.1 is keyless</w:t>
      </w:r>
      <w:r>
        <w:t xml:space="preserve"> </w:t>
      </w:r>
      <w:r>
        <w:t xml:space="preserve">(archive-and-recreate, not in-place mutation), and any new signatory must</w:t>
      </w:r>
      <w:r>
        <w:t xml:space="preserve"> </w:t>
      </w:r>
      <w:r>
        <w:t xml:space="preserve">co-authorize — so the Auctioneer cannot push a minted token into a Bidder's</w:t>
      </w:r>
      <w:r>
        <w:t xml:space="preserve"> </w:t>
      </w:r>
      <w:r>
        <w:t xml:space="preserve">wallet: the Issuer creates a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 </w:t>
      </w:r>
      <w:r>
        <w:t xml:space="preserve">and the Bidder actively accepts it.</w:t>
      </w:r>
      <w:r>
        <w:t xml:space="preserve"> </w:t>
      </w:r>
      <w:r>
        <w:t xml:space="preserve">Synchronizer sequencers order transactions by confirmation-tree shape while</w:t>
      </w:r>
      <w:r>
        <w:t xml:space="preserve"> </w:t>
      </w:r>
      <w:r>
        <w:t xml:space="preserve">remaining blinded to bid plaintext, eliminating sequencer front-running / MEV.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5" w:name="X768877ac61802d848295b7cce07ef9b548a1273"/>
    <w:p>
      <w:pPr>
        <w:pStyle w:val="Heading2"/>
      </w:pPr>
      <w:r>
        <w:t xml:space="preserve">3. How We Implement It</w:t>
      </w:r>
    </w:p>
    <w:p>
      <w:pPr>
        <w:pStyle w:val="FirstParagraph"/>
      </w:pPr>
      <w:r>
        <w:t xml:space="preserve">An invariant-bound lifecycle: configuration + gating → confidential bidding →</w:t>
      </w:r>
      <w:r>
        <w:t xml:space="preserve"> </w:t>
      </w:r>
      <w:r>
        <w:t xml:space="preserve">off-ledger clearing → atomic on-ledger settlement.</w:t>
      </w:r>
    </w:p>
    <w:bookmarkStart w:id="21" w:name="X3b2119b2fbf663dd1f8fea924719eb31a1e4e88"/>
    <w:p>
      <w:pPr>
        <w:pStyle w:val="Heading3"/>
      </w:pPr>
      <w:r>
        <w:t xml:space="preserve">3.1 The Settlement-Spine 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 + access gating.</w:t>
      </w:r>
      <w:r>
        <w:t xml:space="preserve"> </w:t>
      </w:r>
      <w:r>
        <w:t xml:space="preserve">The Issuer instantiates</w:t>
      </w:r>
      <w:r>
        <w:t xml:space="preserve"> </w:t>
      </w:r>
      <w:r>
        <w:rPr>
          <w:rStyle w:val="VerbatimChar"/>
        </w:rPr>
        <w:t xml:space="preserve">AuctionLaunchpad</w:t>
      </w:r>
      <w:r>
        <w:t xml:space="preserve"> </w:t>
      </w:r>
      <w:r>
        <w:t xml:space="preserve">(payment instrument id, launched instrument id, the</w:t>
      </w:r>
      <w:r>
        <w:t xml:space="preserve"> </w:t>
      </w:r>
      <w:r>
        <w:rPr>
          <w:rStyle w:val="VerbatimChar"/>
        </w:rPr>
        <w:t xml:space="preserve">SettlementFactory</w:t>
      </w:r>
      <w:r>
        <w:t xml:space="preserve"> </w:t>
      </w:r>
      <w:r>
        <w:t xml:space="preserve">reference, the governing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) and delegates the Auctioneer</w:t>
      </w:r>
      <w:r>
        <w:t xml:space="preserve"> </w:t>
      </w:r>
      <w:r>
        <w:t xml:space="preserve">role via</w:t>
      </w:r>
      <w:r>
        <w:t xml:space="preserve"> </w:t>
      </w:r>
      <w:r>
        <w:rPr>
          <w:rStyle w:val="VerbatimChar"/>
        </w:rPr>
        <w:t xml:space="preserve">RoleGrant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Credential verification.</w:t>
      </w:r>
      <w:r>
        <w:t xml:space="preserve"> </w:t>
      </w:r>
      <w:r>
        <w:t xml:space="preserve">The Bidder obtains a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and submits a</w:t>
      </w:r>
      <w:r>
        <w:t xml:space="preserve"> </w:t>
      </w:r>
      <w:r>
        <w:rPr>
          <w:rStyle w:val="VerbatimChar"/>
        </w:rPr>
        <w:t xml:space="preserve">CredentialGatedActionRequest</w:t>
      </w:r>
      <w:r>
        <w:t xml:space="preserve">; the Verifier issues a</w:t>
      </w:r>
      <w:r>
        <w:t xml:space="preserve"> </w:t>
      </w:r>
      <w:r>
        <w:rPr>
          <w:rStyle w:val="VerbatimChar"/>
        </w:rPr>
        <w:t xml:space="preserve">MockVerificationResult</w:t>
      </w:r>
      <w:r>
        <w:t xml:space="preserve"> </w:t>
      </w:r>
      <w:r>
        <w:t xml:space="preserve">on-ledger, unlocking participation.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Escrow + confidential bid.</w:t>
      </w:r>
      <w:r>
        <w:t xml:space="preserve"> </w:t>
      </w:r>
      <w:r>
        <w:t xml:space="preserve">The Bidder commits payment capital by creating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SettlementFactory_CreateAllocationInstruction</w:t>
      </w:r>
      <w:r>
        <w:t xml:space="preserve">)</w:t>
      </w:r>
      <w:r>
        <w:t xml:space="preserve"> </w:t>
      </w:r>
      <w:r>
        <w:t xml:space="preserve">and accepting it (</w:t>
      </w:r>
      <w:r>
        <w:rPr>
          <w:rStyle w:val="VerbatimChar"/>
        </w:rPr>
        <w:t xml:space="preserve">AllocationInstruction_Accept</w:t>
      </w:r>
      <w:r>
        <w:t xml:space="preserve">), producing a committed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that locks the funds under the Bidder's authority while</w:t>
      </w:r>
      <w:r>
        <w:t xml:space="preserve"> </w:t>
      </w:r>
      <w:r>
        <w:t xml:space="preserve">delegating settlement execution to the</w:t>
      </w:r>
      <w:r>
        <w:t xml:space="preserve"> </w:t>
      </w:r>
      <w:r>
        <w:rPr>
          <w:rStyle w:val="VerbatimChar"/>
        </w:rPr>
        <w:t xml:space="preserve">SettlementFactory</w:t>
      </w:r>
      <w:r>
        <w:t xml:space="preserve">. Simultaneously the</w:t>
      </w:r>
      <w:r>
        <w:t xml:space="preserve"> </w:t>
      </w:r>
      <w:r>
        <w:t xml:space="preserve">Bidder creates a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signatory bidder, observer auctioneer</w:t>
      </w:r>
      <w:r>
        <w:t xml:space="preserve">)</w:t>
      </w:r>
      <w:r>
        <w:t xml:space="preserve"> </w:t>
      </w:r>
      <w:r>
        <w:t xml:space="preserve">carrying the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reference, bid amount, and price — projected only to</w:t>
      </w:r>
      <w:r>
        <w:t xml:space="preserve"> </w:t>
      </w:r>
      <w:r>
        <w:t xml:space="preserve">bidder and auctioneer.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Closure + clearing.</w:t>
      </w:r>
      <w:r>
        <w:t xml:space="preserve"> </w:t>
      </w:r>
      <w:r>
        <w:t xml:space="preserve">The Auctioneer halts new submissions via</w:t>
      </w:r>
      <w:r>
        <w:t xml:space="preserve"> </w:t>
      </w:r>
      <w:r>
        <w:rPr>
          <w:rStyle w:val="VerbatimChar"/>
        </w:rPr>
        <w:t xml:space="preserve">oz-pausable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PauseState</w:t>
      </w:r>
      <w:r>
        <w:t xml:space="preserve">), queries its node for active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s, and runs the</w:t>
      </w:r>
      <w:r>
        <w:t xml:space="preserve"> </w:t>
      </w:r>
      <w:r>
        <w:t xml:space="preserve">off-ledger clearing engine to determine the clearing price, winners, and exact</w:t>
      </w:r>
      <w:r>
        <w:t xml:space="preserve"> </w:t>
      </w:r>
      <w:r>
        <w:t xml:space="preserve">asset routing.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Atomic co-settlement.</w:t>
      </w:r>
      <w:r>
        <w:t xml:space="preserve"> </w:t>
      </w:r>
      <w:r>
        <w:t xml:space="preserve">For each winner the Auctioneer creates token</w:t>
      </w:r>
      <w:r>
        <w:t xml:space="preserve"> </w:t>
      </w:r>
      <w:r>
        <w:rPr>
          <w:rStyle w:val="VerbatimChar"/>
        </w:rPr>
        <w:t xml:space="preserve">AllocationInstruction</w:t>
      </w:r>
      <w:r>
        <w:t xml:space="preserve">s (token minted/transferred from the Issuer's treasury</w:t>
      </w:r>
      <w:r>
        <w:t xml:space="preserve"> </w:t>
      </w:r>
      <w:r>
        <w:t xml:space="preserve">holding) and builds the final batch — winners' payment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+ the</w:t>
      </w:r>
      <w:r>
        <w:t xml:space="preserve"> </w:t>
      </w:r>
      <w:r>
        <w:t xml:space="preserve">Issuer's token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+ the routing legs — then submits a single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. The factory validates conservation (payment</w:t>
      </w:r>
      <w:r>
        <w:t xml:space="preserve"> </w:t>
      </w:r>
      <w:r>
        <w:t xml:space="preserve">in = payment owed; tokens out = tokens owed) and runs the D1 hooks; on success</w:t>
      </w:r>
      <w:r>
        <w:t xml:space="preserve"> </w:t>
      </w:r>
      <w:r>
        <w:t xml:space="preserve">it commits atomically, delivering tokens to bidders, payment to the Issuer,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SettlementReceipt</w:t>
      </w:r>
      <w:r>
        <w:t xml:space="preserve">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Return to sender (losing bids).</w:t>
      </w:r>
      <w:r>
        <w:t xml:space="preserve"> </w:t>
      </w:r>
      <w:r>
        <w:t xml:space="preserve">The Auctioneer archives losing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s and cancels the corresponding payment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Allocation_Cancel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_Withdraw</w:t>
      </w:r>
      <w:r>
        <w:t xml:space="preserve">), releasing the lock back to the bidder.</w:t>
      </w:r>
      <w:r>
        <w:t xml:space="preserve"> </w:t>
      </w:r>
      <w:r>
        <w:t xml:space="preserve">This honors the D2 rule: non-matching bids</w:t>
      </w:r>
      <w:r>
        <w:t xml:space="preserve"> </w:t>
      </w:r>
      <w:r>
        <w:rPr>
          <w:b/>
          <w:bCs/>
        </w:rPr>
        <w:t xml:space="preserve">return to sender</w:t>
      </w:r>
      <w:r>
        <w:t xml:space="preserve"> </w:t>
      </w:r>
      <w:r>
        <w:t xml:space="preserve">— never seized</w:t>
      </w:r>
      <w:r>
        <w:t xml:space="preserve"> </w:t>
      </w:r>
      <w:r>
        <w:t xml:space="preserve">or burned by the launchpad.</w:t>
      </w:r>
    </w:p>
    <w:bookmarkEnd w:id="21"/>
    <w:bookmarkStart w:id="22" w:name="X3c37a21b29ef1b90f76c72261192ff20213730f"/>
    <w:p>
      <w:pPr>
        <w:pStyle w:val="Heading3"/>
      </w:pPr>
      <w:r>
        <w:t xml:space="preserve">3.2 D1 Compliance: Shape B node attestation</w:t>
      </w:r>
    </w:p>
    <w:p>
      <w:pPr>
        <w:pStyle w:val="FirstParagraph"/>
      </w:pPr>
      <w:r>
        <w:t xml:space="preserve">Compliance is checked on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settlement leg,</w:t>
      </w:r>
      <w:r>
        <w:t xml:space="preserve"> </w:t>
      </w:r>
      <w:r>
        <w:rPr>
          <w:b/>
          <w:bCs/>
        </w:rPr>
        <w:t xml:space="preserve">fail-closed</w:t>
      </w:r>
      <w:r>
        <w:t xml:space="preserve">,</w:t>
      </w:r>
      <w:r>
        <w:t xml:space="preserve"> </w:t>
      </w:r>
      <w:r>
        <w:rPr>
          <w:b/>
          <w:bCs/>
        </w:rPr>
        <w:t xml:space="preserve">node-applied</w:t>
      </w:r>
      <w:r>
        <w:t xml:space="preserve"> </w:t>
      </w:r>
      <w:r>
        <w:t xml:space="preserve">— no on-ledger caching. The RI uses</w:t>
      </w:r>
      <w:r>
        <w:t xml:space="preserve"> </w:t>
      </w:r>
      <w:r>
        <w:rPr>
          <w:b/>
          <w:bCs/>
        </w:rPr>
        <w:t xml:space="preserve">Shape B</w:t>
      </w:r>
      <w:r>
        <w:t xml:space="preserve"> </w:t>
      </w:r>
      <w:r>
        <w:t xml:space="preserve">(signed node</w:t>
      </w:r>
      <w:r>
        <w:t xml:space="preserve"> </w:t>
      </w:r>
      <w:r>
        <w:t xml:space="preserve">attestation) over Shape A (off-ledger gate): the optional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requires fresh, cryptographically signed attestations from the</w:t>
      </w:r>
      <w:r>
        <w:t xml:space="preserve"> </w:t>
      </w:r>
      <w:r>
        <w:t xml:space="preserve">relevant compliance nodes; if any are missing/expired/invalid, the entire batch</w:t>
      </w:r>
      <w:r>
        <w:t xml:space="preserve"> </w:t>
      </w:r>
      <w:r>
        <w:t xml:space="preserve">fails.</w:t>
      </w:r>
      <w:r>
        <w:t xml:space="preserve"> </w:t>
      </w:r>
      <w:r>
        <w:rPr>
          <w:i/>
          <w:iCs/>
        </w:rPr>
        <w:t xml:space="preserve">(Open, non-blocking: contract-oblivious vs on-ledger attestation</w:t>
      </w:r>
      <w:r>
        <w:rPr>
          <w:i/>
          <w:iCs/>
        </w:rPr>
        <w:t xml:space="preserve"> </w:t>
      </w:r>
      <w:r>
        <w:rPr>
          <w:i/>
          <w:iCs/>
        </w:rPr>
        <w:t xml:space="preserve">verification.)</w:t>
      </w:r>
    </w:p>
    <w:bookmarkEnd w:id="22"/>
    <w:bookmarkStart w:id="23" w:name="X55276d0a4dcf393d8646cdce29ce889417e0d62"/>
    <w:p>
      <w:pPr>
        <w:pStyle w:val="Heading3"/>
      </w:pPr>
      <w:r>
        <w:t xml:space="preserve">3.3 D2 Seizure: lock-and-sweep</w:t>
      </w:r>
    </w:p>
    <w:p>
      <w:pPr>
        <w:pStyle w:val="FirstParagraph"/>
      </w:pPr>
      <w:r>
        <w:t xml:space="preserve">Seizure is isolated from the auction flow and gated by the single-admin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burn: a targeted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 </w:t>
      </w:r>
      <w:r>
        <w:t xml:space="preserve">/ holding is</w:t>
      </w:r>
      <w:r>
        <w:t xml:space="preserve"> </w:t>
      </w:r>
      <w:r>
        <w:t xml:space="preserve">swept to an admin-</w:t>
      </w:r>
      <w:r>
        <w:rPr>
          <w:b/>
          <w:bCs/>
        </w:rPr>
        <w:t xml:space="preserve">preset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, via the real spine</w:t>
      </w:r>
      <w:r>
        <w:t xml:space="preserve"> </w:t>
      </w:r>
      <w:r>
        <w:t xml:space="preserve">mechanism (</w:t>
      </w:r>
      <w:r>
        <w:rPr>
          <w:rStyle w:val="VerbatimChar"/>
        </w:rPr>
        <w:t xml:space="preserve">Allocation_MarkD2InFlightSeizure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Allocation_SweepD2InFlightSeizure</w:t>
      </w:r>
      <w:r>
        <w:t xml:space="preserve"> </w:t>
      </w:r>
      <w:r>
        <w:t xml:space="preserve">for in-flight allocations;</w:t>
      </w:r>
      <w:r>
        <w:t xml:space="preserve"> </w:t>
      </w:r>
      <w:r>
        <w:rPr>
          <w:rStyle w:val="VerbatimChar"/>
        </w:rPr>
        <w:t xml:space="preserve">LockedSimpleHolding_ForcedBurn</w:t>
      </w:r>
      <w:r>
        <w:t xml:space="preserve"> </w:t>
      </w:r>
      <w:r>
        <w:t xml:space="preserve">to the custodian for</w:t>
      </w:r>
      <w:r>
        <w:t xml:space="preserve"> </w:t>
      </w:r>
      <w:r>
        <w:t xml:space="preserve">locked holdings). The spine's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is a config</w:t>
      </w:r>
      <w:r>
        <w:t xml:space="preserve"> </w:t>
      </w:r>
      <w:r>
        <w:rPr>
          <w:b/>
          <w:bCs/>
        </w:rPr>
        <w:t xml:space="preserve">data record</w:t>
      </w:r>
      <w:r>
        <w:t xml:space="preserve"> </w:t>
      </w:r>
      <w:r>
        <w:t xml:space="preserve">(</w:t>
      </w:r>
      <w:r>
        <w:rPr>
          <w:rStyle w:val="VerbatimChar"/>
        </w:rPr>
        <w:t xml:space="preserve">seizureCaseRef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custodianDestination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inFlightHandlingStatus</w:t>
      </w:r>
      <w:r>
        <w:t xml:space="preserve">), not an</w:t>
      </w:r>
      <w:r>
        <w:t xml:space="preserve"> </w:t>
      </w:r>
      <w:r>
        <w:t xml:space="preserve">invokable template. Value is preserved; chain of custody is maintained; nothing</w:t>
      </w:r>
      <w:r>
        <w:t xml:space="preserve"> </w:t>
      </w:r>
      <w:r>
        <w:t xml:space="preserve">is returned to a flagged sender (ordinary transfer</w:t>
      </w:r>
      <w:r>
        <w:t xml:space="preserve"> </w:t>
      </w:r>
      <w:r>
        <w:rPr>
          <w:i/>
          <w:iCs/>
        </w:rPr>
        <w:t xml:space="preserve">failures</w:t>
      </w:r>
      <w:r>
        <w:t xml:space="preserve"> </w:t>
      </w:r>
      <w:r>
        <w:t xml:space="preserve">do return to</w:t>
      </w:r>
      <w:r>
        <w:t xml:space="preserve"> </w:t>
      </w:r>
      <w:r>
        <w:t xml:space="preserve">sender).</w:t>
      </w:r>
    </w:p>
    <w:bookmarkEnd w:id="23"/>
    <w:bookmarkStart w:id="24" w:name="X378fc96910dff2a2afa24110a9f3de11c153305"/>
    <w:p>
      <w:pPr>
        <w:pStyle w:val="Heading3"/>
      </w:pPr>
      <w:r>
        <w:t xml:space="preserve">3.4 SCU upgrade rule + D3 forward compatibility</w:t>
      </w:r>
    </w:p>
    <w:p>
      <w:pPr>
        <w:pStyle w:val="FirstParagraph"/>
      </w:pPr>
      <w:r>
        <w:t xml:space="preserve">Never mutate an existing choice's args to require a new field; extend via</w:t>
      </w:r>
      <w:r>
        <w:t xml:space="preserve"> </w:t>
      </w:r>
      <w:r>
        <w:rPr>
          <w:rStyle w:val="VerbatimChar"/>
        </w:rPr>
        <w:t xml:space="preserve">Optional</w:t>
      </w:r>
      <w:r>
        <w:t xml:space="preserve"> </w:t>
      </w:r>
      <w:r>
        <w:t xml:space="preserve">fields, new types, and new choices. D3 today is single-domain v1</w:t>
      </w:r>
      <w:r>
        <w:t xml:space="preserve"> </w:t>
      </w:r>
      <w:r>
        <w:t xml:space="preserve">(</w:t>
      </w:r>
      <w:r>
        <w:rPr>
          <w:rStyle w:val="VerbatimChar"/>
        </w:rPr>
        <w:t xml:space="preserve">TrustedIssuerRegistry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). To add cross-domain identity</w:t>
      </w:r>
      <w:r>
        <w:t xml:space="preserve"> </w:t>
      </w:r>
      <w:r>
        <w:t xml:space="preserve">(ONCHAINID / ERC-3643 / CCID) later: define a new</w:t>
      </w:r>
      <w:r>
        <w:t xml:space="preserve"> </w:t>
      </w:r>
      <w:r>
        <w:rPr>
          <w:rStyle w:val="VerbatimChar"/>
        </w:rPr>
        <w:t xml:space="preserve">CrossDomainIdentity</w:t>
      </w:r>
      <w:r>
        <w:t xml:space="preserve"> </w:t>
      </w:r>
      <w:r>
        <w:t xml:space="preserve">type,</w:t>
      </w:r>
      <w:r>
        <w:t xml:space="preserve"> </w:t>
      </w:r>
      <w:r>
        <w:t xml:space="preserve">append</w:t>
      </w:r>
      <w:r>
        <w:t xml:space="preserve"> </w:t>
      </w:r>
      <w:r>
        <w:rPr>
          <w:rStyle w:val="VerbatimChar"/>
        </w:rPr>
        <w:t xml:space="preserve">crossDomainRef : Optional CrossDomainIdentity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, and add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choice</w:t>
      </w:r>
      <w:r>
        <w:t xml:space="preserve"> </w:t>
      </w:r>
      <w:r>
        <w:rPr>
          <w:rStyle w:val="VerbatimChar"/>
        </w:rPr>
        <w:t xml:space="preserve">BidRequest_UpdateIdentity</w:t>
      </w:r>
      <w:r>
        <w:t xml:space="preserve"> </w:t>
      </w:r>
      <w:r>
        <w:t xml:space="preserve">(archive + recreate with the field</w:t>
      </w:r>
      <w:r>
        <w:t xml:space="preserve"> </w:t>
      </w:r>
      <w:r>
        <w:t xml:space="preserve">populated). Legacy bid choices stay untouched and functional. This is the</w:t>
      </w:r>
      <w:r>
        <w:t xml:space="preserve"> </w:t>
      </w:r>
      <w:r>
        <w:t xml:space="preserve">additive path proven in the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t xml:space="preserve">identity-hook upgrade spike.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Xa975f165a8f4846d4f55a69ab47eeb91102f08e"/>
    <w:p>
      <w:pPr>
        <w:pStyle w:val="Heading2"/>
      </w:pPr>
      <w:r>
        <w:t xml:space="preserve">4. Interfaces &amp; Usage Examples</w:t>
      </w:r>
    </w:p>
    <w:p>
      <w:pPr>
        <w:pStyle w:val="FirstParagraph"/>
      </w:pPr>
      <w:r>
        <w:t xml:space="preserve">Names map to real workspace components; RI-level templates are tagged</w:t>
      </w:r>
      <w:r>
        <w:t xml:space="preserve"> </w:t>
      </w:r>
      <w:r>
        <w:rPr>
          <w:rStyle w:val="VerbatimChar"/>
        </w:rPr>
        <w:t xml:space="preserve">[FUTURE]</w:t>
      </w:r>
      <w:r>
        <w:t xml:space="preserve">. Imports use real module names (</w:t>
      </w:r>
      <w:r>
        <w:rPr>
          <w:rStyle w:val="VerbatimChar"/>
        </w:rPr>
        <w:t xml:space="preserve">OpenZeppelin.AccessControl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OpenZeppelin.Pausable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OpenZeppelin.Experimental.Settlement.Cip112</w:t>
      </w:r>
      <w:r>
        <w:t xml:space="preserve">).</w:t>
      </w:r>
    </w:p>
    <w:bookmarkStart w:id="26" w:name="X6a51d6560773e91dd45918ae52cb10cba03a7da"/>
    <w:p>
      <w:pPr>
        <w:pStyle w:val="Heading3"/>
      </w:pPr>
      <w:r>
        <w:t xml:space="preserve">4.1 Access control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ConfidentialAuction.AccessControl where</w:t>
      </w:r>
      <w:r>
        <w:br/>
      </w:r>
      <w:r>
        <w:br/>
      </w:r>
      <w:r>
        <w:rPr>
          <w:rStyle w:val="NormalTok"/>
        </w:rPr>
        <w:t xml:space="preserve">import OpenZeppelin.AccessControl (RoleGrant, requireRole)</w:t>
      </w:r>
      <w:r>
        <w:br/>
      </w:r>
      <w:r>
        <w:br/>
      </w:r>
      <w:r>
        <w:rPr>
          <w:rStyle w:val="NormalTok"/>
        </w:rPr>
        <w:t xml:space="preserve">data AuctionRole = IssuerRole | AuctioneerRole deriving (Eq, Show)</w:t>
      </w:r>
      <w:r>
        <w:br/>
      </w:r>
      <w:r>
        <w:br/>
      </w:r>
      <w:r>
        <w:rPr>
          <w:rStyle w:val="NormalTok"/>
        </w:rPr>
        <w:t xml:space="preserve">roleId : AuctionRole -&gt; Text</w:t>
      </w:r>
      <w:r>
        <w:br/>
      </w:r>
      <w:r>
        <w:rPr>
          <w:rStyle w:val="NormalTok"/>
        </w:rPr>
        <w:t xml:space="preserve">roleId IssuerRole     = "ISSUER"</w:t>
      </w:r>
      <w:r>
        <w:br/>
      </w:r>
      <w:r>
        <w:rPr>
          <w:rStyle w:val="NormalTok"/>
        </w:rPr>
        <w:t xml:space="preserve">roleId AuctioneerRole = "AUCTIONEER"</w:t>
      </w:r>
    </w:p>
    <w:bookmarkEnd w:id="26"/>
    <w:bookmarkStart w:id="27" w:name="X75323d84a935a5e9476545c58f7c21340dcf7a2"/>
    <w:p>
      <w:pPr>
        <w:pStyle w:val="Heading3"/>
      </w:pPr>
      <w:r>
        <w:t xml:space="preserve">4.2 Launchpad configuration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ConfidentialAuction.Launchpad where</w:t>
      </w:r>
      <w:r>
        <w:br/>
      </w:r>
      <w:r>
        <w:br/>
      </w:r>
      <w:r>
        <w:rPr>
          <w:rStyle w:val="NormalTok"/>
        </w:rPr>
        <w:t xml:space="preserve">import OpenZeppelin.Pausable (PauseState, whenNotPaused)</w:t>
      </w:r>
      <w:r>
        <w:br/>
      </w:r>
      <w:r>
        <w:rPr>
          <w:rStyle w:val="NormalTok"/>
        </w:rPr>
        <w:t xml:space="preserve">import OpenZeppelin.Experimental.Settlement.Cip112 (SettlementFactory)</w:t>
      </w:r>
      <w:r>
        <w:br/>
      </w:r>
      <w:r>
        <w:br/>
      </w:r>
      <w:r>
        <w:rPr>
          <w:rStyle w:val="NormalTok"/>
        </w:rPr>
        <w:t xml:space="preserve">template AuctionLaunchpad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operator : Party</w:t>
      </w:r>
      <w:r>
        <w:br/>
      </w:r>
      <w:r>
        <w:rPr>
          <w:rStyle w:val="NormalTok"/>
        </w:rPr>
        <w:t xml:space="preserve">    issuer : Party</w:t>
      </w:r>
      <w:r>
        <w:br/>
      </w:r>
      <w:r>
        <w:rPr>
          <w:rStyle w:val="NormalTok"/>
        </w:rPr>
        <w:t xml:space="preserve">    paymentInstrumentId : Text</w:t>
      </w:r>
      <w:r>
        <w:br/>
      </w:r>
      <w:r>
        <w:rPr>
          <w:rStyle w:val="NormalTok"/>
        </w:rPr>
        <w:t xml:space="preserve">    launchedInstrumentId : Text</w:t>
      </w:r>
      <w:r>
        <w:br/>
      </w:r>
      <w:r>
        <w:rPr>
          <w:rStyle w:val="NormalTok"/>
        </w:rPr>
        <w:t xml:space="preserve">    settlementFactoryCid : ContractId SettlementFactory</w:t>
      </w:r>
      <w:r>
        <w:br/>
      </w:r>
      <w:r>
        <w:rPr>
          <w:rStyle w:val="NormalTok"/>
        </w:rPr>
        <w:t xml:space="preserve">    pauseStateCid : ContractId PauseState     -- oz-pausable kill-switch</w:t>
      </w:r>
      <w:r>
        <w:br/>
      </w:r>
      <w:r>
        <w:rPr>
          <w:rStyle w:val="NormalTok"/>
        </w:rPr>
        <w:t xml:space="preserve">    minBidPrice : Decimal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operator, issuer</w:t>
      </w:r>
      <w:r>
        <w:br/>
      </w:r>
      <w:r>
        <w:rPr>
          <w:rStyle w:val="NormalTok"/>
        </w:rPr>
        <w:t xml:space="preserve">    ensure (minBidPrice &gt; 0.0)</w:t>
      </w:r>
      <w:r>
        <w:br/>
      </w:r>
      <w:r>
        <w:rPr>
          <w:rStyle w:val="NormalTok"/>
        </w:rPr>
        <w:t xml:space="preserve">    -- Halt/resume route through oz-pausable PauseState_Set (controller = issuer,</w:t>
      </w:r>
      <w:r>
        <w:br/>
      </w:r>
      <w:r>
        <w:rPr>
          <w:rStyle w:val="NormalTok"/>
        </w:rPr>
        <w:t xml:space="preserve">    -- validated via requireRole IssuerRole), not via a mutated local flag.</w:t>
      </w:r>
    </w:p>
    <w:bookmarkEnd w:id="27"/>
    <w:bookmarkStart w:id="28" w:name="X71b5bcd35db6e1584da431f2f5b9869db604c8d"/>
    <w:p>
      <w:pPr>
        <w:pStyle w:val="Heading3"/>
      </w:pPr>
      <w:r>
        <w:t xml:space="preserve">4.3 Confidential bid + policy guards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ConfidentialAuction.Bid where</w:t>
      </w:r>
      <w:r>
        <w:br/>
      </w:r>
      <w:r>
        <w:br/>
      </w:r>
      <w:r>
        <w:rPr>
          <w:rStyle w:val="NormalTok"/>
        </w:rPr>
        <w:t xml:space="preserve">import OpenZeppelin.Experimental.Settlement.Cip112 (Allocation)</w:t>
      </w:r>
      <w:r>
        <w:br/>
      </w:r>
      <w:r>
        <w:br/>
      </w:r>
      <w:r>
        <w:rPr>
          <w:rStyle w:val="NormalTok"/>
        </w:rPr>
        <w:t xml:space="preserve">template BidRequest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bidder : Party</w:t>
      </w:r>
      <w:r>
        <w:br/>
      </w:r>
      <w:r>
        <w:rPr>
          <w:rStyle w:val="NormalTok"/>
        </w:rPr>
        <w:t xml:space="preserve">    auctioneer : Party</w:t>
      </w:r>
      <w:r>
        <w:br/>
      </w:r>
      <w:r>
        <w:rPr>
          <w:rStyle w:val="NormalTok"/>
        </w:rPr>
        <w:t xml:space="preserve">    launchpadCid : ContractId AuctionLaunchpad</w:t>
      </w:r>
      <w:r>
        <w:br/>
      </w:r>
      <w:r>
        <w:rPr>
          <w:rStyle w:val="NormalTok"/>
        </w:rPr>
        <w:t xml:space="preserve">    paymentAllocationCid : ContractId Allocation</w:t>
      </w:r>
      <w:r>
        <w:br/>
      </w:r>
      <w:r>
        <w:rPr>
          <w:rStyle w:val="NormalTok"/>
        </w:rPr>
        <w:t xml:space="preserve">    bidAmount : Decimal</w:t>
      </w:r>
      <w:r>
        <w:br/>
      </w:r>
      <w:r>
        <w:rPr>
          <w:rStyle w:val="NormalTok"/>
        </w:rPr>
        <w:t xml:space="preserve">    bidPrice : Decimal</w:t>
      </w:r>
      <w:r>
        <w:br/>
      </w:r>
      <w:r>
        <w:rPr>
          <w:rStyle w:val="NormalTok"/>
        </w:rPr>
        <w:t xml:space="preserve">    maxAllocationCap : Decimal</w:t>
      </w:r>
      <w:r>
        <w:br/>
      </w:r>
      <w:r>
        <w:rPr>
          <w:rStyle w:val="NormalTok"/>
        </w:rPr>
        <w:t xml:space="preserve">    -- SCU additive extension point for deferred D3 cross-domain identity.</w:t>
      </w:r>
      <w:r>
        <w:br/>
      </w:r>
      <w:r>
        <w:rPr>
          <w:rStyle w:val="NormalTok"/>
        </w:rPr>
        <w:t xml:space="preserve">    crossDomainRef : Optional Text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-- CONFIDENTIALITY boundary: only bidder + auctioneer project this contract.</w:t>
      </w:r>
      <w:r>
        <w:br/>
      </w:r>
      <w:r>
        <w:rPr>
          <w:rStyle w:val="NormalTok"/>
        </w:rPr>
        <w:t xml:space="preserve">    signatory bidder</w:t>
      </w:r>
      <w:r>
        <w:br/>
      </w:r>
      <w:r>
        <w:rPr>
          <w:rStyle w:val="NormalTok"/>
        </w:rPr>
        <w:t xml:space="preserve">    observer auctioneer</w:t>
      </w:r>
      <w:r>
        <w:br/>
      </w:r>
      <w:r>
        <w:br/>
      </w:r>
      <w:r>
        <w:rPr>
          <w:rStyle w:val="NormalTok"/>
        </w:rPr>
        <w:t xml:space="preserve">    -- Policy guard: integrity + per-investor cap.</w:t>
      </w:r>
      <w:r>
        <w:br/>
      </w:r>
      <w:r>
        <w:rPr>
          <w:rStyle w:val="NormalTok"/>
        </w:rPr>
        <w:t xml:space="preserve">    ensure (bidAmount &gt; 0.0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bidPrice &gt; 0.0 </w:t>
      </w:r>
      <w:r>
        <w:rPr>
          <w:rStyle w:val="ErrorTok"/>
        </w:rPr>
        <w:t xml:space="preserve">&amp;&amp;</w:t>
      </w:r>
      <w:r>
        <w:rPr>
          <w:rStyle w:val="NormalTok"/>
        </w:rPr>
        <w:t xml:space="preserve"> bidAmount </w:t>
      </w:r>
      <w:r>
        <w:rPr>
          <w:rStyle w:val="ErrorTok"/>
        </w:rPr>
        <w:t xml:space="preserve">&lt;</w:t>
      </w:r>
      <w:r>
        <w:rPr>
          <w:rStyle w:val="NormalTok"/>
        </w:rPr>
        <w:t xml:space="preserve">= maxAllocationCap)</w:t>
      </w:r>
      <w:r>
        <w:br/>
      </w:r>
      <w:r>
        <w:br/>
      </w:r>
      <w:r>
        <w:rPr>
          <w:rStyle w:val="NormalTok"/>
        </w:rPr>
        <w:t xml:space="preserve">    -- D2 / return-to-sender: bidder withdraws before clearing; the real spine</w:t>
      </w:r>
      <w:r>
        <w:br/>
      </w:r>
      <w:r>
        <w:rPr>
          <w:rStyle w:val="NormalTok"/>
        </w:rPr>
        <w:t xml:space="preserve">    -- choice unlocks and returns the funds (no auctioneer action needed).</w:t>
      </w:r>
      <w:r>
        <w:br/>
      </w:r>
      <w:r>
        <w:rPr>
          <w:rStyle w:val="NormalTok"/>
        </w:rPr>
        <w:t xml:space="preserve">    choice BidRequest_Cancel : ContractId Allocation</w:t>
      </w:r>
      <w:r>
        <w:br/>
      </w:r>
      <w:r>
        <w:rPr>
          <w:rStyle w:val="NormalTok"/>
        </w:rPr>
        <w:t xml:space="preserve">      controller bidder</w:t>
      </w:r>
      <w:r>
        <w:br/>
      </w:r>
      <w:r>
        <w:rPr>
          <w:rStyle w:val="NormalTok"/>
        </w:rPr>
        <w:t xml:space="preserve">      do exercise paymentAllocationCid Allocation_Withdraw</w:t>
      </w:r>
    </w:p>
    <w:bookmarkEnd w:id="28"/>
    <w:bookmarkStart w:id="29" w:name="Xf810a83d58471146f3d2e686f4dd7b8b0213587"/>
    <w:p>
      <w:pPr>
        <w:pStyle w:val="Heading3"/>
      </w:pPr>
      <w:r>
        <w:t xml:space="preserve">4.4 Atomic settlement via the spine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SourceCode"/>
      </w:pPr>
      <w:r>
        <w:rPr>
          <w:rStyle w:val="NormalTok"/>
        </w:rPr>
        <w:t xml:space="preserve">module ConfidentialAuction.Clearing where</w:t>
      </w:r>
      <w:r>
        <w:br/>
      </w:r>
      <w:r>
        <w:br/>
      </w:r>
      <w:r>
        <w:rPr>
          <w:rStyle w:val="NormalTok"/>
        </w:rPr>
        <w:t xml:space="preserve">import OpenZeppelin.Experimental.Settlement.Cip112</w:t>
      </w:r>
      <w:r>
        <w:br/>
      </w:r>
      <w:r>
        <w:rPr>
          <w:rStyle w:val="NormalTok"/>
        </w:rPr>
        <w:t xml:space="preserve">  (SettlementFactory, SettlementFactory_SettleBatch, Allocation, AllocationRequest)</w:t>
      </w:r>
      <w:r>
        <w:br/>
      </w:r>
      <w:r>
        <w:br/>
      </w:r>
      <w:r>
        <w:rPr>
          <w:rStyle w:val="NormalTok"/>
        </w:rPr>
        <w:t xml:space="preserve">template AuctionClearing</w:t>
      </w:r>
      <w:r>
        <w:br/>
      </w:r>
      <w:r>
        <w:rPr>
          <w:rStyle w:val="NormalTok"/>
        </w:rPr>
        <w:t xml:space="preserve">  with</w:t>
      </w:r>
      <w:r>
        <w:br/>
      </w:r>
      <w:r>
        <w:rPr>
          <w:rStyle w:val="NormalTok"/>
        </w:rPr>
        <w:t xml:space="preserve">    auctioneer : Party</w:t>
      </w:r>
      <w:r>
        <w:br/>
      </w:r>
      <w:r>
        <w:rPr>
          <w:rStyle w:val="NormalTok"/>
        </w:rPr>
        <w:t xml:space="preserve">    launchpadCid : ContractId AuctionLaunchpad</w:t>
      </w:r>
      <w:r>
        <w:br/>
      </w:r>
      <w:r>
        <w:rPr>
          <w:rStyle w:val="NormalTok"/>
        </w:rPr>
        <w:t xml:space="preserve">  where</w:t>
      </w:r>
      <w:r>
        <w:br/>
      </w:r>
      <w:r>
        <w:rPr>
          <w:rStyle w:val="NormalTok"/>
        </w:rPr>
        <w:t xml:space="preserve">    signatory auctioneer</w:t>
      </w:r>
      <w:r>
        <w:br/>
      </w:r>
      <w:r>
        <w:br/>
      </w:r>
      <w:r>
        <w:rPr>
          <w:rStyle w:val="NormalTok"/>
        </w:rPr>
        <w:t xml:space="preserve">    choice Clearing_ExecuteBatch : [ContractId SettlementReceipt]</w:t>
      </w:r>
      <w:r>
        <w:br/>
      </w:r>
      <w:r>
        <w:rPr>
          <w:rStyle w:val="NormalTok"/>
        </w:rPr>
        <w:t xml:space="preserve">      with</w:t>
      </w:r>
      <w:r>
        <w:br/>
      </w:r>
      <w:r>
        <w:rPr>
          <w:rStyle w:val="NormalTok"/>
        </w:rPr>
        <w:t xml:space="preserve">        settlementFactoryCid : ContractId SettlementFactory</w:t>
      </w:r>
      <w:r>
        <w:br/>
      </w:r>
      <w:r>
        <w:rPr>
          <w:rStyle w:val="NormalTok"/>
        </w:rPr>
        <w:t xml:space="preserve">        paymentAllocations : [ContractId Allocation]      -- winners' locked payment</w:t>
      </w:r>
      <w:r>
        <w:br/>
      </w:r>
      <w:r>
        <w:rPr>
          <w:rStyle w:val="NormalTok"/>
        </w:rPr>
        <w:t xml:space="preserve">        tokenAllocations : [ContractId Allocation]         -- issuer's token side</w:t>
      </w:r>
      <w:r>
        <w:br/>
      </w:r>
      <w:r>
        <w:rPr>
          <w:rStyle w:val="NormalTok"/>
        </w:rPr>
        <w:t xml:space="preserve">        requests : [ContractId AllocationRequest]          -- routing legs (bidders ↔ tokens)</w:t>
      </w:r>
      <w:r>
        <w:br/>
      </w:r>
      <w:r>
        <w:rPr>
          <w:rStyle w:val="NormalTok"/>
        </w:rPr>
        <w:t xml:space="preserve">      controller auctioneer</w:t>
      </w:r>
      <w:r>
        <w:br/>
      </w:r>
      <w:r>
        <w:rPr>
          <w:rStyle w:val="NormalTok"/>
        </w:rPr>
        <w:t xml:space="preserve">      do</w:t>
      </w:r>
      <w:r>
        <w:br/>
      </w:r>
      <w:r>
        <w:rPr>
          <w:rStyle w:val="NormalTok"/>
        </w:rPr>
        <w:t xml:space="preserve">        -- Single atomic DvP. If any D1ComplianceHook fails on any leg, or the</w:t>
      </w:r>
      <w:r>
        <w:br/>
      </w:r>
      <w:r>
        <w:rPr>
          <w:rStyle w:val="NormalTok"/>
        </w:rPr>
        <w:t xml:space="preserve">        -- math violates conservation, the whole batch fails-closed.</w:t>
      </w:r>
      <w:r>
        <w:br/>
      </w:r>
      <w:r>
        <w:rPr>
          <w:rStyle w:val="NormalTok"/>
        </w:rPr>
        <w:t xml:space="preserve">        exercise settlementFactoryCid SettlementFactory_SettleBatch with</w:t>
      </w:r>
      <w:r>
        <w:br/>
      </w:r>
      <w:r>
        <w:rPr>
          <w:rStyle w:val="NormalTok"/>
        </w:rPr>
        <w:t xml:space="preserve">          allocations = paymentAllocations ++ tokenAllocations</w:t>
      </w:r>
      <w:r>
        <w:br/>
      </w:r>
      <w:r>
        <w:rPr>
          <w:rStyle w:val="NormalTok"/>
        </w:rPr>
        <w:t xml:space="preserve">          requests = requests</w:t>
      </w:r>
      <w:r>
        <w:br/>
      </w:r>
      <w:r>
        <w:rPr>
          <w:rStyle w:val="NormalTok"/>
        </w:rPr>
        <w:t xml:space="preserve">          -- nextIterationFunding empty: terminal single-round settlement.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Xa4c687f521a51c6c80daec4cfa2a7eba0e2ab75"/>
    <w:p>
      <w:pPr>
        <w:pStyle w:val="Heading2"/>
      </w:pPr>
      <w:r>
        <w:t xml:space="preserve">5. Diagrams</w:t>
      </w:r>
    </w:p>
    <w:p>
      <w:pPr>
        <w:pStyle w:val="FirstParagraph"/>
      </w:pPr>
      <w:r>
        <w:t xml:space="preserve">Validatable with</w:t>
      </w:r>
      <w:r>
        <w:t xml:space="preserve"> </w:t>
      </w:r>
      <w:r>
        <w:rPr>
          <w:rStyle w:val="VerbatimChar"/>
        </w:rPr>
        <w:t xml:space="preserve">canton-settlement-explorer</w:t>
      </w:r>
      <w:r>
        <w:t xml:space="preserve">. Render externally for Docs.</w:t>
      </w:r>
    </w:p>
    <w:bookmarkStart w:id="34" w:name="X9788ddf4cbad541b08177611fa6307d56616c5b"/>
    <w:p>
      <w:pPr>
        <w:pStyle w:val="Heading3"/>
      </w:pPr>
      <w:r>
        <w:t xml:space="preserve">5.1 Interface and Component Diagram</w:t>
      </w:r>
    </w:p>
    <w:p>
      <w:pPr>
        <w:pStyle w:val="FirstParagraph"/>
      </w:pPr>
      <w:r>
        <w:rPr>
          <w:i/>
          <w:iCs/>
        </w:rPr>
        <w:t xml:space="preserve">Diagram 1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04-confidential-auction.md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3311889"/>
            <wp:effectExtent b="0" l="0" r="0" t="0"/>
            <wp:docPr descr="Diagram 1" title="" id="32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4-confidential-auction.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1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bookmarkEnd w:id="34"/>
    <w:bookmarkStart w:id="38" w:name="X284a6476e196cb8dd11b71764f182db14c67381"/>
    <w:p>
      <w:pPr>
        <w:pStyle w:val="Heading3"/>
      </w:pPr>
      <w:r>
        <w:t xml:space="preserve">5.2 Flow-of-Funds and Settlement Sequence</w:t>
      </w:r>
    </w:p>
    <w:p>
      <w:pPr>
        <w:pStyle w:val="FirstParagraph"/>
      </w:pPr>
      <w:r>
        <w:rPr>
          <w:i/>
          <w:iCs/>
        </w:rPr>
        <w:t xml:space="preserve">Diagram 2 (rendered locally; editable Mermaid source in the canonical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04-confidential-auction.md</w:t>
      </w:r>
      <w:r>
        <w:rPr>
          <w:i/>
          <w:iCs/>
        </w:rPr>
        <w:t xml:space="preserve">).</w:t>
      </w:r>
    </w:p>
    <w:p>
      <w:pPr>
        <w:pStyle w:val="BodyText"/>
      </w:pPr>
      <w:r>
        <w:drawing>
          <wp:inline>
            <wp:extent cx="5334000" cy="2838738"/>
            <wp:effectExtent b="0" l="0" r="0" t="0"/>
            <wp:docPr descr="Diagram 2" title="" id="36" name="Picture"/>
            <a:graphic>
              <a:graphicData uri="http://schemas.openxmlformats.org/drawingml/2006/picture">
                <pic:pic>
                  <pic:nvPicPr>
                    <pic:cNvPr descr="/private/tmp/claude-501/-Users-x-cantonator/8a444dc0-23d4-4832-9ccd-8a4d75653595/scratchpad/mermaid/04-confidential-auction.2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{width=6.3in}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c230615a2d59ee180796a91b949b7f94390f0f0"/>
    <w:p>
      <w:pPr>
        <w:pStyle w:val="Heading2"/>
      </w:pPr>
      <w:r>
        <w:t xml:space="preserve">6. Library Dependencies</w:t>
      </w:r>
    </w:p>
    <w:bookmarkStart w:id="40" w:name="X0b4dd9959c1594bb6a988316f8886de7c539012"/>
    <w:p>
      <w:pPr>
        <w:pStyle w:val="Heading3"/>
      </w:pPr>
      <w:r>
        <w:t xml:space="preserve">6.1 Internal Dependencies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Consumed Templates / Interfaces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oz-access-control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RoleGrant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DefaultAdminTransferOffer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requireRole</w:t>
            </w:r>
          </w:p>
        </w:tc>
        <w:tc>
          <w:tcPr/>
          <w:p>
            <w:pPr>
              <w:pStyle w:val="Compact"/>
            </w:pPr>
            <w:r>
              <w:t xml:space="preserve">Authority model; closed-sum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checks.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oz-ownable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Ownership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OwnershipOffer</w:t>
            </w:r>
          </w:p>
        </w:tc>
        <w:tc>
          <w:tcPr/>
          <w:p>
            <w:pPr>
              <w:pStyle w:val="Compact"/>
            </w:pPr>
            <w:r>
              <w:t xml:space="preserve">Secure admin handoff.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oz-pausable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PauseState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whenNotPaused</w:t>
            </w:r>
          </w:p>
        </w:tc>
        <w:tc>
          <w:tcPr/>
          <w:p>
            <w:pPr>
              <w:pStyle w:val="Compact"/>
            </w:pPr>
            <w:r>
              <w:t xml:space="preserve">Circuit breaker (halt the sale).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canton-token-template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LockedSimpleHolding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SimpleTokenRules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TransferPreapproval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MintProposal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Rules_Mint</w:t>
            </w:r>
          </w:p>
        </w:tc>
        <w:tc>
          <w:tcPr/>
          <w:p>
            <w:pPr>
              <w:pStyle w:val="Compact"/>
            </w:pPr>
            <w:r>
              <w:t xml:space="preserve">Asset structure, 3-way dispatch, cold-recipient mint.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canton-stablecoin</w:t>
            </w:r>
          </w:p>
        </w:tc>
        <w:tc>
          <w:tcPr/>
          <w:p>
            <w:pPr>
              <w:pStyle w:val="Compact"/>
            </w:pPr>
            <w:r>
              <w:t xml:space="preserve">(none consumed;</w:t>
            </w:r>
            <w:r>
              <w:t xml:space="preserve"> </w:t>
            </w:r>
            <w:r>
              <w:rPr>
                <w:rStyle w:val="VerbatimChar"/>
              </w:rPr>
              <w:t xml:space="preserve">Vault</w:t>
            </w:r>
            <w:r>
              <w:t xml:space="preserve">/</w:t>
            </w:r>
            <w:r>
              <w:rPr>
                <w:rStyle w:val="VerbatimChar"/>
              </w:rPr>
              <w:t xml:space="preserve">VaultFactory</w:t>
            </w:r>
            <w:r>
              <w:t xml:space="preserve">/</w:t>
            </w:r>
            <w:r>
              <w:rPr>
                <w:rStyle w:val="VerbatimChar"/>
              </w:rPr>
              <w:t xml:space="preserve">Vault_Liquidate</w:t>
            </w:r>
            <w:r>
              <w:t xml:space="preserve">/</w:t>
            </w:r>
            <w:r>
              <w:rPr>
                <w:rStyle w:val="VerbatimChar"/>
              </w:rPr>
              <w:t xml:space="preserve">PriceOracle</w:t>
            </w:r>
            <w:r>
              <w:t xml:space="preserve"> </w:t>
            </w:r>
            <w:r>
              <w:rPr>
                <w:b/>
                <w:bCs/>
              </w:rPr>
              <w:t xml:space="preserve">excluded</w:t>
            </w:r>
            <w:r>
              <w:t xml:space="preserve"> </w:t>
            </w:r>
            <w:r>
              <w:t xml:space="preserve">— CDP, not issuance)</w:t>
            </w:r>
          </w:p>
        </w:tc>
        <w:tc>
          <w:tcPr/>
          <w:p>
            <w:pPr>
              <w:pStyle w:val="Compact"/>
            </w:pPr>
            <w:r>
              <w:t xml:space="preserve">Referenced for contrast only.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zk-credential-gateway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CredentialGatedActionRequest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MockVerificationResult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CredentialRevocationStatus</w:t>
            </w:r>
          </w:p>
        </w:tc>
        <w:tc>
          <w:tcPr/>
          <w:p>
            <w:pPr>
              <w:pStyle w:val="Compact"/>
            </w:pPr>
            <w:r>
              <w:t xml:space="preserve">D1/D3 credential gating.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[EVIDENCE]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canton-specs</w:t>
            </w:r>
            <w:r>
              <w:t xml:space="preserve"> </w:t>
            </w:r>
            <w:r>
              <w:t xml:space="preserve">identity-hook Shape-B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KycClaim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</w:p>
        </w:tc>
        <w:tc>
          <w:tcPr/>
          <w:p>
            <w:pPr>
              <w:pStyle w:val="Compact"/>
            </w:pPr>
            <w:r>
              <w:t xml:space="preserve">Typed D3 identity, layered via SCU.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OpenZeppelin.Experimental.Settlement.Cip112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SettlementFactory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AllocationInstruction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SettlementReceipt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D1ComplianceHook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D2SeizureHook</w:t>
            </w:r>
          </w:p>
        </w:tc>
        <w:tc>
          <w:tcPr/>
          <w:p>
            <w:pPr>
              <w:pStyle w:val="Compact"/>
            </w:pPr>
            <w:r>
              <w:t xml:space="preserve">Atomic DvP spine; D1/D2 seams.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[IMPLEMENTED]</w:t>
            </w:r>
            <w:r>
              <w:t xml:space="preserve"> </w:t>
            </w:r>
            <w:r>
              <w:t xml:space="preserve">(experimental)</w:t>
            </w:r>
          </w:p>
        </w:tc>
      </w:tr>
    </w:tbl>
    <w:bookmarkEnd w:id="40"/>
    <w:bookmarkStart w:id="41" w:name="Xbf6a6dfdd1ee8b44cdbbc5915d9ee2ea7bdf38e"/>
    <w:p>
      <w:pPr>
        <w:pStyle w:val="Heading3"/>
      </w:pPr>
      <w:r>
        <w:t xml:space="preserve">6.2 External Dependencies (Splice Token Standard V2)</w:t>
      </w:r>
    </w:p>
    <w:p>
      <w:pPr>
        <w:pStyle w:val="FirstParagraph"/>
      </w:pPr>
      <w:r>
        <w:t xml:space="preserve">Built against the CIP-0112 / Splice Token Standard V2</w:t>
      </w:r>
      <w:r>
        <w:t xml:space="preserve"> </w:t>
      </w:r>
      <w:r>
        <w:rPr>
          <w:b/>
          <w:bCs/>
        </w:rPr>
        <w:t xml:space="preserve">interfaces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,</w:t>
      </w:r>
      <w:r>
        <w:t xml:space="preserve"> </w:t>
      </w:r>
      <w:r>
        <w:t xml:space="preserve">ignoring DAR/package-ID pins in favor of local stand-ins designed to</w:t>
      </w:r>
      <w:r>
        <w:t xml:space="preserve"> </w:t>
      </w:r>
      <w:r>
        <w:rPr>
          <w:b/>
          <w:bCs/>
        </w:rPr>
        <w:t xml:space="preserve">maximally</w:t>
      </w:r>
      <w:r>
        <w:rPr>
          <w:b/>
          <w:bCs/>
        </w:rPr>
        <w:t xml:space="preserve"> </w:t>
      </w:r>
      <w:r>
        <w:rPr>
          <w:b/>
          <w:bCs/>
        </w:rPr>
        <w:t xml:space="preserve">match the V2 interfaces</w:t>
      </w:r>
      <w:r>
        <w:t xml:space="preserve">. Source-of-record pin: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1e34121b…</w:t>
      </w:r>
      <w:r>
        <w:t xml:space="preserve"> </w:t>
      </w:r>
      <w:r>
        <w:t xml:space="preserve">(historical preview</w:t>
      </w:r>
      <w:r>
        <w:t xml:space="preserve"> </w:t>
      </w:r>
      <w:r>
        <w:rPr>
          <w:rStyle w:val="VerbatimChar"/>
        </w:rPr>
        <w:t xml:space="preserve">…-daml-preview</w:t>
      </w:r>
      <w:r>
        <w:t xml:space="preserve"> </w:t>
      </w:r>
      <w:r>
        <w:t xml:space="preserve">@</w:t>
      </w:r>
      <w:r>
        <w:t xml:space="preserve"> </w:t>
      </w:r>
      <w:r>
        <w:rPr>
          <w:rStyle w:val="VerbatimChar"/>
        </w:rPr>
        <w:t xml:space="preserve">b91de5d4…</w:t>
      </w:r>
      <w:r>
        <w:t xml:space="preserve">; DARs + checksums in</w:t>
      </w:r>
      <w:r>
        <w:t xml:space="preserve"> </w:t>
      </w:r>
      <w:r>
        <w:rPr>
          <w:rStyle w:val="VerbatimChar"/>
        </w:rPr>
        <w:t xml:space="preserve">canton-token-template/docs/CIP-0112-EXTENSION-PLAN.md</w:t>
      </w:r>
      <w:r>
        <w:t xml:space="preserve">). Import remains gated</w:t>
      </w:r>
      <w:r>
        <w:t xml:space="preserve"> </w:t>
      </w:r>
      <w:r>
        <w:t xml:space="preserve">(PLAN.md;</w:t>
      </w:r>
      <w:r>
        <w:t xml:space="preserve"> </w:t>
      </w:r>
      <w:r>
        <w:rPr>
          <w:rStyle w:val="VerbatimChar"/>
        </w:rPr>
        <w:t xml:space="preserve">M4_AUCTION_SCOPE.md</w:t>
      </w:r>
      <w:r>
        <w:t xml:space="preserve"> </w:t>
      </w:r>
      <w:r>
        <w:t xml:space="preserve">§A); no public-API stability / conformance /</w:t>
      </w:r>
      <w:r>
        <w:t xml:space="preserve"> </w:t>
      </w:r>
      <w:r>
        <w:t xml:space="preserve">release claim.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is present in the standard but</w:t>
      </w:r>
      <w:r>
        <w:t xml:space="preserve"> </w:t>
      </w:r>
      <w:r>
        <w:rPr>
          <w:b/>
          <w:bCs/>
        </w:rPr>
        <w:t xml:space="preserve">disabled</w:t>
      </w:r>
      <w:r>
        <w:t xml:space="preserve"> </w:t>
      </w:r>
      <w:r>
        <w:t xml:space="preserve">here (single-round); it is the extension point for multi-round / bonding-curve</w:t>
      </w:r>
      <w:r>
        <w:t xml:space="preserve"> </w:t>
      </w:r>
      <w:r>
        <w:t xml:space="preserve">variants.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Xafd635958b9f219ac7c7aab416c2f44ad3d0a0a"/>
    <w:p>
      <w:pPr>
        <w:pStyle w:val="Heading2"/>
      </w:pPr>
      <w:r>
        <w:t xml:space="preserve">7. Security &amp; Auditability</w:t>
      </w:r>
    </w:p>
    <w:bookmarkStart w:id="43" w:name="X25fcd3160a6442d64f4702d1ddb157ccd408f40"/>
    <w:p>
      <w:pPr>
        <w:pStyle w:val="Heading3"/>
      </w:pPr>
      <w:r>
        <w:t xml:space="preserve">7.1 Threat Model and Invariants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Privacy leakage / metadata front-running</w:t>
            </w:r>
          </w:p>
        </w:tc>
        <w:tc>
          <w:tcPr/>
          <w:p>
            <w:pPr>
              <w:pStyle w:val="Compact"/>
            </w:pPr>
            <w:r>
              <w:t xml:space="preserve">Adversaries monitor a public mempool to front-run bids.</w:t>
            </w:r>
          </w:p>
        </w:tc>
        <w:tc>
          <w:tcPr/>
          <w:p>
            <w:pPr>
              <w:pStyle w:val="Compact"/>
            </w:pPr>
            <w:r>
              <w:t xml:space="preserve">Canton has no public mempool; per-party projection keeps the</w:t>
            </w:r>
            <w:r>
              <w:t xml:space="preserve"> </w:t>
            </w:r>
            <w:r>
              <w:rPr>
                <w:rStyle w:val="VerbatimChar"/>
              </w:rPr>
              <w:t xml:space="preserve">BidRequest</w:t>
            </w:r>
            <w:r>
              <w:t xml:space="preserve"> </w:t>
            </w:r>
            <w:r>
              <w:t xml:space="preserve">payload off the network; the sequencer sees the confirmation-tree shape, not contents; blast radius is bounded by a node's authorized visibility.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Unauthorized seizure / unilateral burn</w:t>
            </w:r>
          </w:p>
        </w:tc>
        <w:tc>
          <w:tcPr/>
          <w:p>
            <w:pPr>
              <w:pStyle w:val="Compact"/>
            </w:pPr>
            <w:r>
              <w:t xml:space="preserve">Compromised admin attempts to burn or redirect escrow.</w:t>
            </w:r>
          </w:p>
        </w:tc>
        <w:tc>
          <w:tcPr/>
          <w:p>
            <w:pPr>
              <w:pStyle w:val="Compact"/>
            </w:pPr>
            <w:r>
              <w:t xml:space="preserve">D2 gated by the single</w:t>
            </w:r>
            <w:r>
              <w:t xml:space="preserve"> </w:t>
            </w:r>
            <w:r>
              <w:rPr>
                <w:rStyle w:val="VerbatimChar"/>
              </w:rPr>
              <w:t xml:space="preserve">BurnerCapability</w:t>
            </w:r>
            <w:r>
              <w:t xml:space="preserve">; failure never defaults to seizure — a failed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leaves funds in their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, returned to sender.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Auctioneer embezzlement at settlement</w:t>
            </w:r>
          </w:p>
        </w:tc>
        <w:tc>
          <w:tcPr/>
          <w:p>
            <w:pPr>
              <w:pStyle w:val="Compact"/>
            </w:pPr>
            <w:r>
              <w:t xml:space="preserve">Auctioneer manipulates routing to redirect payments.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AllocationRequest</w:t>
            </w:r>
            <w:r>
              <w:t xml:space="preserve">/leg routing is explicit;</w:t>
            </w:r>
            <w:r>
              <w:t xml:space="preserve"> </w:t>
            </w:r>
            <w:r>
              <w:rPr>
                <w:rStyle w:val="VerbatimChar"/>
              </w:rPr>
              <w:t xml:space="preserve">SettlementFactory</w:t>
            </w:r>
            <w:r>
              <w:t xml:space="preserve"> </w:t>
            </w:r>
            <w:r>
              <w:t xml:space="preserve">enforces conservation at the Daml level — net outflow cannot exceed allocation and destinations must match the counter-signed routing; violating transactions are rejected.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Invariants:</w:t>
      </w:r>
      <w:r>
        <w:t xml:space="preserve"> </w:t>
      </w:r>
      <w:r>
        <w:t xml:space="preserve">(a)</w:t>
      </w:r>
      <w:r>
        <w:t xml:space="preserve"> </w:t>
      </w:r>
      <w:r>
        <w:rPr>
          <w:b/>
          <w:bCs/>
        </w:rPr>
        <w:t xml:space="preserve">conservation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cannot output more value</w:t>
      </w:r>
      <w:r>
        <w:t xml:space="preserve"> </w:t>
      </w:r>
      <w:r>
        <w:t xml:space="preserve">than its input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(sum in = sum out + change); (b)</w:t>
      </w:r>
      <w:r>
        <w:t xml:space="preserve"> </w:t>
      </w:r>
      <w:r>
        <w:rPr>
          <w:b/>
          <w:bCs/>
        </w:rPr>
        <w:t xml:space="preserve">confidentiality</w:t>
      </w:r>
      <w:r>
        <w:t xml:space="preserve"> </w:t>
      </w:r>
      <w:r>
        <w:t xml:space="preserve">— bid amount/parties are projected only to bidder, auctioneer, and the</w:t>
      </w:r>
      <w:r>
        <w:t xml:space="preserve"> </w:t>
      </w:r>
      <w:r>
        <w:t xml:space="preserve">designated verifier.</w:t>
      </w:r>
    </w:p>
    <w:bookmarkEnd w:id="43"/>
    <w:bookmarkStart w:id="44" w:name="X20825ba457c15e48564e4c059f1bf7ffbb36870"/>
    <w:p>
      <w:pPr>
        <w:pStyle w:val="Heading3"/>
      </w:pPr>
      <w:r>
        <w:t xml:space="preserve">7.2 Validation Ladder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Tooling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daml-lint</w:t>
            </w:r>
          </w:p>
        </w:tc>
        <w:tc>
          <w:tcPr/>
          <w:p>
            <w:pPr>
              <w:pStyle w:val="Compact"/>
            </w:pPr>
            <w:r>
              <w:t xml:space="preserve">Anti-patterns, decimal bounds, archive-before-execute; enforces the SCU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-append rule (no breaking field changes) and the</w:t>
            </w:r>
            <w:r>
              <w:t xml:space="preserve"> </w:t>
            </w:r>
            <w:r>
              <w:rPr>
                <w:rStyle w:val="VerbatimChar"/>
              </w:rPr>
              <w:t xml:space="preserve">roleId</w:t>
            </w:r>
            <w:r>
              <w:t xml:space="preserve"> </w:t>
            </w:r>
            <w:r>
              <w:t xml:space="preserve">wrapper.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testing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daml-props</w:t>
            </w:r>
          </w:p>
        </w:tc>
        <w:tc>
          <w:tcPr/>
          <w:p>
            <w:pPr>
              <w:pStyle w:val="Compact"/>
            </w:pPr>
            <w:r>
              <w:t xml:space="preserve">Property-based fuzzing of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 </w:t>
            </w:r>
            <w:r>
              <w:t xml:space="preserve">over randomized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  <w:r>
              <w:t xml:space="preserve">/</w:t>
            </w:r>
            <w:r>
              <w:rPr>
                <w:rStyle w:val="VerbatimChar"/>
              </w:rPr>
              <w:t xml:space="preserve">BidRequest</w:t>
            </w:r>
            <w:r>
              <w:t xml:space="preserve"> </w:t>
            </w:r>
            <w:r>
              <w:t xml:space="preserve">shapes; attempts to force a conservation violation or orphaned-asset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Formal verification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daml-verify</w:t>
            </w:r>
          </w:p>
        </w:tc>
        <w:tc>
          <w:tcPr/>
          <w:p>
            <w:pPr>
              <w:pStyle w:val="Compact"/>
            </w:pPr>
            <w:r>
              <w:t xml:space="preserve">Z3 proofs: no transition projects a</w:t>
            </w:r>
            <w:r>
              <w:t xml:space="preserve"> </w:t>
            </w:r>
            <w:r>
              <w:rPr>
                <w:rStyle w:val="VerbatimChar"/>
              </w:rPr>
              <w:t xml:space="preserve">BidRequest</w:t>
            </w:r>
            <w:r>
              <w:t xml:space="preserve"> </w:t>
            </w:r>
            <w:r>
              <w:t xml:space="preserve">onto an unauthorized party; the D1 hook cannot be bypassed in the final confirmation tree.</w:t>
            </w:r>
          </w:p>
        </w:tc>
      </w:tr>
    </w:tbl>
    <w:p>
      <w:pPr>
        <w:pStyle w:val="BodyText"/>
      </w:pPr>
      <w:r>
        <w:t xml:space="preserve">(Tooling exists in the workspace; no benchmark latencies are claimed.)</w:t>
      </w:r>
    </w:p>
    <w:bookmarkEnd w:id="44"/>
    <w:bookmarkStart w:id="45" w:name="X9fbf6f0b06586eeeb9ec3bf2380866fa3c2e2cd"/>
    <w:p>
      <w:pPr>
        <w:pStyle w:val="Heading3"/>
      </w:pPr>
      <w:r>
        <w:t xml:space="preserve">7.3 D1–D4 Mapping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D1ComplianceHook</w:t>
      </w:r>
      <w:r>
        <w:t xml:space="preserve">, Shape B signed node attestation every leg,</w:t>
      </w:r>
      <w:r>
        <w:t xml:space="preserve"> </w:t>
      </w:r>
      <w:r>
        <w:t xml:space="preserve">fail-closed.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D2SeizureHook</w:t>
      </w:r>
      <w:r>
        <w:t xml:space="preserve"> </w:t>
      </w:r>
      <w:r>
        <w:t xml:space="preserve">config +</w:t>
      </w:r>
      <w:r>
        <w:t xml:space="preserve"> </w:t>
      </w:r>
      <w:r>
        <w:rPr>
          <w:rStyle w:val="VerbatimChar"/>
        </w:rPr>
        <w:t xml:space="preserve">BurnerCapability</w:t>
      </w:r>
      <w:r>
        <w:t xml:space="preserve">-gated lock-and-sweep to a</w:t>
      </w:r>
      <w:r>
        <w:t xml:space="preserve"> </w:t>
      </w:r>
      <w:r>
        <w:t xml:space="preserve">preset custodian; no burn; losing bids return to sender.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D3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</w:t>
      </w:r>
      <w:r>
        <w:t xml:space="preserve"> </w:t>
      </w:r>
      <w:r>
        <w:t xml:space="preserve">+ Shape-B</w:t>
      </w:r>
      <w:r>
        <w:t xml:space="preserve"> </w:t>
      </w:r>
      <w:r>
        <w:rPr>
          <w:rStyle w:val="VerbatimChar"/>
        </w:rPr>
        <w:t xml:space="preserve">KycClaim</w:t>
      </w:r>
      <w:r>
        <w:t xml:space="preserve"> </w:t>
      </w:r>
      <w:r>
        <w:t xml:space="preserve">before bid acceptance;</w:t>
      </w:r>
      <w:r>
        <w:t xml:space="preserve"> </w:t>
      </w:r>
      <w:r>
        <w:t xml:space="preserve">cross-domain deferred, SCU-forward-compatible.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D4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oz-access-control</w:t>
      </w:r>
      <w:r>
        <w:t xml:space="preserve"> </w:t>
      </w:r>
      <w:r>
        <w:t xml:space="preserve">single-admin capability for M1; multi-sig → M3.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X2213aa400af3badbf7f432163a1336f639e261c"/>
    <w:p>
      <w:pPr>
        <w:pStyle w:val="Heading2"/>
      </w:pPr>
      <w:r>
        <w:t xml:space="preserve">8. Cross-Synchronizer Domain Extension (Planned)</w:t>
      </w:r>
      <w:r>
        <w:t xml:space="preserve"> </w:t>
      </w:r>
      <w:r>
        <w:rPr>
          <w:rStyle w:val="VerbatimChar"/>
        </w:rPr>
        <w:t xml:space="preserve">[FUTURE]</w:t>
      </w:r>
    </w:p>
    <w:p>
      <w:pPr>
        <w:pStyle w:val="BlockText"/>
      </w:pPr>
      <w:r>
        <w:rPr>
          <w:b/>
          <w:bCs/>
        </w:rPr>
        <w:t xml:space="preserve">Shared model:</w:t>
      </w:r>
      <w:r>
        <w:t xml:space="preserve"> </w:t>
      </w:r>
      <w:r>
        <w:t xml:space="preserve">the cross-synchronizer mechanism (per-synchronizer</w:t>
      </w:r>
      <w:r>
        <w:t xml:space="preserve"> </w:t>
      </w:r>
      <w:r>
        <w:t xml:space="preserve">assignment + unassign/assign reassignment, and the SCU-compliant additive</w:t>
      </w:r>
      <w:r>
        <w:t xml:space="preserve"> </w:t>
      </w:r>
      <w:r>
        <w:t xml:space="preserve">path) is identical across all four RIs and is owned in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§5. This section elaborates only the</w:t>
      </w:r>
      <w:r>
        <w:t xml:space="preserve"> </w:t>
      </w:r>
      <w:r>
        <w:t xml:space="preserve">RI-specific topology.</w:t>
      </w:r>
    </w:p>
    <w:p>
      <w:pPr>
        <w:pStyle w:val="BlockText"/>
      </w:pPr>
      <w:r>
        <w:rPr>
          <w:b/>
          <w:bCs/>
        </w:rPr>
        <w:t xml:space="preserve">Status: out of scope for the initial M1 design; deferred and planned.</w:t>
      </w:r>
      <w:r>
        <w:t xml:space="preserve"> </w:t>
      </w:r>
      <w:r>
        <w:t xml:space="preserve">The</w:t>
      </w:r>
      <w:r>
        <w:t xml:space="preserve"> </w:t>
      </w:r>
      <w:r>
        <w:t xml:space="preserve">auction and the CIP-0112 scaffold are</w:t>
      </w:r>
      <w:r>
        <w:t xml:space="preserve"> </w:t>
      </w:r>
      <w:r>
        <w:rPr>
          <w:b/>
          <w:bCs/>
        </w:rPr>
        <w:t xml:space="preserve">single-synchronizer</w:t>
      </w:r>
      <w:r>
        <w:t xml:space="preserve"> </w:t>
      </w:r>
      <w:r>
        <w:t xml:space="preserve">today; D3</w:t>
      </w:r>
      <w:r>
        <w:t xml:space="preserve"> </w:t>
      </w:r>
      <w:r>
        <w:t xml:space="preserve">cross-domain identity is deferred. This section plans multi-synchronizer</w:t>
      </w:r>
      <w:r>
        <w:t xml:space="preserve"> </w:t>
      </w:r>
      <w:r>
        <w:t xml:space="preserve">operation per Canton's per-synchronizer assignment + unassign/assign</w:t>
      </w:r>
      <w:r>
        <w:t xml:space="preserve"> </w:t>
      </w:r>
      <w:r>
        <w:t xml:space="preserve">reassignment model and the SCU rule.</w:t>
      </w:r>
    </w:p>
    <w:bookmarkStart w:id="47" w:name="Xdd5b3820d2dd8222f345a7aaad6428da16d96a1"/>
    <w:p>
      <w:pPr>
        <w:pStyle w:val="Heading3"/>
      </w:pPr>
      <w:r>
        <w:t xml:space="preserve">8.1 What changes</w:t>
      </w:r>
    </w:p>
    <w:p>
      <w:pPr>
        <w:pStyle w:val="FirstParagraph"/>
      </w:pPr>
      <w:r>
        <w:t xml:space="preserve">A cross-synchronizer launchpad is not one global auction. The</w:t>
      </w:r>
      <w:r>
        <w:t xml:space="preserve"> </w:t>
      </w:r>
      <w:r>
        <w:rPr>
          <w:rStyle w:val="VerbatimChar"/>
        </w:rPr>
        <w:t xml:space="preserve">AuctionLaunchpad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, and the bidders' payment</w:t>
      </w:r>
      <w:r>
        <w:t xml:space="preserve"> </w:t>
      </w:r>
      <w:r>
        <w:rPr>
          <w:rStyle w:val="VerbatimChar"/>
        </w:rPr>
        <w:t xml:space="preserve">Allocation</w:t>
      </w:r>
      <w:r>
        <w:t xml:space="preserve">s may sit on different</w:t>
      </w:r>
      <w:r>
        <w:t xml:space="preserve"> </w:t>
      </w:r>
      <w:r>
        <w:t xml:space="preserve">synchronizers; clearing settlement requires reassigning the winning legs onto one</w:t>
      </w:r>
      <w:r>
        <w:t xml:space="preserve"> </w:t>
      </w:r>
      <w:r>
        <w:t xml:space="preserve">synchronizer before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.</w:t>
      </w:r>
    </w:p>
    <w:bookmarkEnd w:id="47"/>
    <w:bookmarkStart w:id="48" w:name="X231fc8c1281f7d0cd5643c9adb44e5ca714d8c7"/>
    <w:p>
      <w:pPr>
        <w:pStyle w:val="Heading3"/>
      </w:pPr>
      <w:r>
        <w:t xml:space="preserve">8.2 Where it touches the boundary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Single-synchronizer (today)</w:t>
            </w:r>
          </w:p>
        </w:tc>
        <w:tc>
          <w:tcPr/>
          <w:p>
            <w:pPr>
              <w:pStyle w:val="Compact"/>
            </w:pPr>
            <w:r>
              <w:t xml:space="preserve">Cross-synchronizer (planned)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BidRequest</w:t>
            </w:r>
          </w:p>
        </w:tc>
        <w:tc>
          <w:tcPr/>
          <w:p>
            <w:pPr>
              <w:pStyle w:val="Compact"/>
            </w:pPr>
            <w:r>
              <w:t xml:space="preserve">Bidder + auctioneer on one synchronizer.</w:t>
            </w:r>
          </w:p>
        </w:tc>
        <w:tc>
          <w:tcPr/>
          <w:p>
            <w:pPr>
              <w:pStyle w:val="Compact"/>
            </w:pPr>
            <w:r>
              <w:t xml:space="preserve">Bid may originate on a bidder's home synchronizer; the auctioneer must be reachable there or the bid reassigned for clearing.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/ token</w:t>
            </w:r>
            <w:r>
              <w:t xml:space="preserve"> </w:t>
            </w:r>
            <w:r>
              <w:rPr>
                <w:rStyle w:val="VerbatimChar"/>
              </w:rPr>
              <w:t xml:space="preserve">Allocation</w:t>
            </w:r>
          </w:p>
        </w:tc>
        <w:tc>
          <w:tcPr/>
          <w:p>
            <w:pPr>
              <w:pStyle w:val="Compact"/>
            </w:pPr>
            <w:r>
              <w:t xml:space="preserve">Created and settled on the launchpad's synchronizer.</w:t>
            </w:r>
          </w:p>
        </w:tc>
        <w:tc>
          <w:tcPr/>
          <w:p>
            <w:pPr>
              <w:pStyle w:val="Compact"/>
            </w:pPr>
            <w:r>
              <w:t xml:space="preserve">Reassignable: winning bids' payment allocations unassigned and assigned to the settling synchronizer before</w:t>
            </w:r>
            <w:r>
              <w:t xml:space="preserve"> </w:t>
            </w:r>
            <w:r>
              <w:rPr>
                <w:rStyle w:val="VerbatimChar"/>
              </w:rPr>
              <w:t xml:space="preserve">SettleBatch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 compliance</w:t>
            </w:r>
          </w:p>
        </w:tc>
        <w:tc>
          <w:tcPr/>
          <w:p>
            <w:pPr>
              <w:pStyle w:val="Compact"/>
            </w:pPr>
            <w:r>
              <w:t xml:space="preserve">Node-side on the settling synchronizer.</w:t>
            </w:r>
          </w:p>
        </w:tc>
        <w:tc>
          <w:tcPr/>
          <w:p>
            <w:pPr>
              <w:pStyle w:val="Compact"/>
            </w:pPr>
            <w:r>
              <w:t xml:space="preserve">Re-evaluated on whichever synchronizer the leg settles; no cross-domain attestation reuse.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D3 identity</w:t>
            </w:r>
          </w:p>
        </w:tc>
        <w:tc>
          <w:tcPr/>
          <w:p>
            <w:pPr>
              <w:pStyle w:val="Compact"/>
            </w:pPr>
            <w:r>
              <w:t xml:space="preserve">Single-domain</w:t>
            </w:r>
            <w:r>
              <w:t xml:space="preserve"> </w:t>
            </w:r>
            <w:r>
              <w:rPr>
                <w:rStyle w:val="VerbatimChar"/>
              </w:rPr>
              <w:t xml:space="preserve">KycClaim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Cross-domain proof (ONCHAINID / ERC-3643 / CCID) into a synchronizer-aware</w:t>
            </w:r>
            <w:r>
              <w:t xml:space="preserve"> </w:t>
            </w:r>
            <w:r>
              <w:rPr>
                <w:rStyle w:val="VerbatimChar"/>
              </w:rPr>
              <w:t xml:space="preserve">TrustedIssuerRegistry</w:t>
            </w:r>
            <w:r>
              <w:t xml:space="preserve"> </w:t>
            </w:r>
            <w:r>
              <w:t xml:space="preserve">— deferred D3 work.</w:t>
            </w:r>
          </w:p>
        </w:tc>
      </w:tr>
    </w:tbl>
    <w:bookmarkEnd w:id="48"/>
    <w:bookmarkStart w:id="49" w:name="X3ff25ebd74ca6946f284a7256cb7cd95d1ab5c6"/>
    <w:p>
      <w:pPr>
        <w:pStyle w:val="Heading3"/>
      </w:pPr>
      <w:r>
        <w:t xml:space="preserve">8.3 The additive, non-breaking path (SCU-compliant)</w:t>
      </w:r>
    </w:p>
    <w:p>
      <w:pPr>
        <w:pStyle w:val="Compact"/>
        <w:numPr>
          <w:ilvl w:val="0"/>
          <w:numId w:val="1005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Optional SynchronizerScope</w:t>
      </w:r>
      <w:r>
        <w:t xml:space="preserve"> </w:t>
      </w:r>
      <w:r>
        <w:t xml:space="preserve">to the RI templates (</w:t>
      </w:r>
      <w:r>
        <w:rPr>
          <w:rStyle w:val="VerbatimChar"/>
        </w:rPr>
        <w:t xml:space="preserve">AuctionLaunchpad</w:t>
      </w:r>
      <w:r>
        <w:t xml:space="preserve">,</w:t>
      </w:r>
      <w:r>
        <w:t xml:space="preserve"> </w:t>
      </w:r>
      <w:r>
        <w:rPr>
          <w:rStyle w:val="VerbatimChar"/>
        </w:rPr>
        <w:t xml:space="preserve">BidRequest</w:t>
      </w:r>
      <w:r>
        <w:t xml:space="preserve">); older contracts read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Add a new parallel choice (e.g.</w:t>
      </w:r>
      <w:r>
        <w:t xml:space="preserve"> </w:t>
      </w:r>
      <w:r>
        <w:rPr>
          <w:rStyle w:val="VerbatimChar"/>
        </w:rPr>
        <w:t xml:space="preserve">Clearing_ExecuteBatchCrossDomain</w:t>
      </w:r>
      <w:r>
        <w:t xml:space="preserve">) alongside</w:t>
      </w:r>
      <w:r>
        <w:t xml:space="preserve"> </w:t>
      </w:r>
      <w:r>
        <w:t xml:space="preserve">the unchanged single-synchronizer clearing choice.</w:t>
      </w:r>
    </w:p>
    <w:p>
      <w:pPr>
        <w:pStyle w:val="Compact"/>
        <w:numPr>
          <w:ilvl w:val="0"/>
          <w:numId w:val="1005"/>
        </w:numPr>
      </w:pPr>
      <w:r>
        <w:t xml:space="preserve">Model reassignment as workflow: reassign winning allocations onto the</w:t>
      </w:r>
      <w:r>
        <w:t xml:space="preserve"> </w:t>
      </w:r>
      <w:r>
        <w:t xml:space="preserve">settling synchronizer →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there → reassign token/receipts back.</w:t>
      </w:r>
      <w:r>
        <w:t xml:space="preserve"> </w:t>
      </w:r>
      <w:r>
        <w:t xml:space="preserve">Atomicity stays at the single-synchronizer batch boundary;</w:t>
      </w:r>
      <w:r>
        <w:t xml:space="preserve"> </w:t>
      </w:r>
      <w:r>
        <w:rPr>
          <w:b/>
          <w:bCs/>
        </w:rPr>
        <w:t xml:space="preserve">losing-bid</w:t>
      </w:r>
      <w:r>
        <w:rPr>
          <w:b/>
          <w:bCs/>
        </w:rPr>
        <w:t xml:space="preserve"> </w:t>
      </w:r>
      <w:r>
        <w:rPr>
          <w:b/>
          <w:bCs/>
        </w:rPr>
        <w:t xml:space="preserve">return-to-sender</w:t>
      </w:r>
      <w:r>
        <w:t xml:space="preserve"> </w:t>
      </w:r>
      <w:r>
        <w:t xml:space="preserve">must also work across the reassignment.</w:t>
      </w:r>
    </w:p>
    <w:bookmarkEnd w:id="49"/>
    <w:bookmarkStart w:id="50" w:name="X60de9bed5e6603d70a9bd57ed6c194ae568df13"/>
    <w:p>
      <w:pPr>
        <w:pStyle w:val="Heading3"/>
      </w:pPr>
      <w:r>
        <w:t xml:space="preserve">8.4 Open questions specific to cross-synchronizer operation</w:t>
      </w:r>
    </w:p>
    <w:p>
      <w:pPr>
        <w:pStyle w:val="Compact"/>
        <w:numPr>
          <w:ilvl w:val="0"/>
          <w:numId w:val="1006"/>
        </w:numPr>
      </w:pPr>
      <w:r>
        <w:t xml:space="preserve">Reassignment-vs-settlement atomicity (rollback vs re-home-able allocation on</w:t>
      </w:r>
      <w:r>
        <w:t xml:space="preserve"> </w:t>
      </w:r>
      <w:r>
        <w:rPr>
          <w:rStyle w:val="VerbatimChar"/>
        </w:rPr>
        <w:t xml:space="preserve">SettleBatch</w:t>
      </w:r>
      <w:r>
        <w:t xml:space="preserve"> </w:t>
      </w:r>
      <w:r>
        <w:t xml:space="preserve">failure), and how it composes with losing-bid return-to-sender.</w:t>
      </w:r>
    </w:p>
    <w:p>
      <w:pPr>
        <w:pStyle w:val="Compact"/>
        <w:numPr>
          <w:ilvl w:val="0"/>
          <w:numId w:val="1006"/>
        </w:numPr>
      </w:pPr>
      <w:r>
        <w:t xml:space="preserve">Which synchronizer's</w:t>
      </w:r>
      <w:r>
        <w:t xml:space="preserve"> </w:t>
      </w:r>
      <w:r>
        <w:rPr>
          <w:rStyle w:val="VerbatimChar"/>
        </w:rPr>
        <w:t xml:space="preserve">TrustedIssuerRegistry</w:t>
      </w:r>
      <w:r>
        <w:t xml:space="preserve">/verifier set governs a</w:t>
      </w:r>
      <w:r>
        <w:t xml:space="preserve"> </w:t>
      </w:r>
      <w:r>
        <w:t xml:space="preserve">cross-domain bidder.</w:t>
      </w:r>
    </w:p>
    <w:p>
      <w:pPr>
        <w:pStyle w:val="Compact"/>
        <w:numPr>
          <w:ilvl w:val="0"/>
          <w:numId w:val="1006"/>
        </w:numPr>
      </w:pPr>
      <w:r>
        <w:t xml:space="preserve">Cross-domain D1 freshness (re-check on the settling synchronizer).</w:t>
      </w:r>
    </w:p>
    <w:p>
      <w:pPr>
        <w:pStyle w:val="Compact"/>
        <w:numPr>
          <w:ilvl w:val="0"/>
          <w:numId w:val="1006"/>
        </w:numPr>
      </w:pPr>
      <w:r>
        <w:t xml:space="preserve">Reassignment tooling maturity (evolving Canton/DA stack; assumes drop-in).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X1eac4ebe82c6da8aa74d16d08bf85a2f3190a4f"/>
    <w:p>
      <w:pPr>
        <w:pStyle w:val="Heading2"/>
      </w:pPr>
      <w:r>
        <w:t xml:space="preserve">9. Open Questions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Iterated-settlement extensions.</w:t>
      </w:r>
      <w:r>
        <w:t xml:space="preserve"> </w:t>
      </w:r>
      <w:r>
        <w:rPr>
          <w:rStyle w:val="VerbatimChar"/>
        </w:rPr>
        <w:t xml:space="preserve">nextIterationFunding</w:t>
      </w:r>
      <w:r>
        <w:t xml:space="preserve"> </w:t>
      </w:r>
      <w:r>
        <w:t xml:space="preserve">is disabled in this</w:t>
      </w:r>
      <w:r>
        <w:t xml:space="preserve"> </w:t>
      </w:r>
      <w:r>
        <w:t xml:space="preserve">single-round design. Adapting it for continuous bonding curves / multi-round</w:t>
      </w:r>
      <w:r>
        <w:t xml:space="preserve"> </w:t>
      </w:r>
      <w:r>
        <w:t xml:space="preserve">Dutch auctions requires formalizing how conservation is enforced over many</w:t>
      </w:r>
      <w:r>
        <w:t xml:space="preserve"> </w:t>
      </w:r>
      <w:r>
        <w:t xml:space="preserve">fragmented iterations without race-condition / double-spend exposure.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D3 identity schema finalization.</w:t>
      </w:r>
      <w:r>
        <w:t xml:space="preserve"> </w:t>
      </w:r>
      <w:r>
        <w:t xml:space="preserve">The future</w:t>
      </w:r>
      <w:r>
        <w:t xml:space="preserve"> </w:t>
      </w:r>
      <w:r>
        <w:rPr>
          <w:rStyle w:val="VerbatimChar"/>
        </w:rPr>
        <w:t xml:space="preserve">CrossDomainIdentity</w:t>
      </w:r>
      <w:r>
        <w:t xml:space="preserve"> </w:t>
      </w:r>
      <w:r>
        <w:t xml:space="preserve">payload</w:t>
      </w:r>
      <w:r>
        <w:t xml:space="preserve"> </w:t>
      </w:r>
      <w:r>
        <w:t xml:space="preserve">and attribute mapping (ERC-3643 / ONCHAINID equivalents → Canton) depend on</w:t>
      </w:r>
      <w:r>
        <w:t xml:space="preserve"> </w:t>
      </w:r>
      <w:r>
        <w:t xml:space="preserve">components not yet present; the SCU rule guarantees additive layering, but the</w:t>
      </w:r>
      <w:r>
        <w:t xml:space="preserve"> </w:t>
      </w:r>
      <w:r>
        <w:t xml:space="preserve">industry schema is still open.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Validator-node thresholds for D1 Shape B.</w:t>
      </w:r>
      <w:r>
        <w:t xml:space="preserve"> </w:t>
      </w:r>
      <w:r>
        <w:t xml:space="preserve">The Confirming-Participant-Node</w:t>
      </w:r>
      <w:r>
        <w:t xml:space="preserve"> </w:t>
      </w:r>
      <w:r>
        <w:t xml:space="preserve">threshold for compliance attestations must be issuer-specified, balancing</w:t>
      </w:r>
      <w:r>
        <w:t xml:space="preserve"> </w:t>
      </w:r>
      <w:r>
        <w:t xml:space="preserve">availability against cryptographic security.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Cross-synchronizer operation</w:t>
      </w:r>
      <w:r>
        <w:t xml:space="preserve"> </w:t>
      </w:r>
      <w:r>
        <w:t xml:space="preserve">(see §8) — deferred; tracked there.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Composability with the other RIs</w:t>
      </w:r>
      <w:r>
        <w:t xml:space="preserve"> </w:t>
      </w:r>
      <w:r>
        <w:t xml:space="preserve">(forward-compatibility; suite view</w:t>
      </w:r>
      <w:r>
        <w:t xml:space="preserve"> </w:t>
      </w:r>
      <w:hyperlink r:id="rId9">
        <w:r>
          <w:rPr>
            <w:rStyle w:val="VerbatimChar"/>
          </w:rPr>
          <w:t xml:space="preserve">00-portfolio.md</w:t>
        </w:r>
      </w:hyperlink>
      <w:r>
        <w:t xml:space="preserve"> </w:t>
      </w:r>
      <w:r>
        <w:t xml:space="preserve">§3): post-auction secondary trading is</w:t>
      </w:r>
      <w:r>
        <w:t xml:space="preserve"> </w:t>
      </w:r>
      <w:r>
        <w:t xml:space="preserve">the DEX RI (</w:t>
      </w:r>
      <w:hyperlink r:id="rId52">
        <w:r>
          <w:rPr>
            <w:rStyle w:val="VerbatimChar"/>
          </w:rPr>
          <w:t xml:space="preserve">01</w:t>
        </w:r>
      </w:hyperlink>
      <w:r>
        <w:t xml:space="preserve">); participants can collateralize bids by</w:t>
      </w:r>
      <w:r>
        <w:t xml:space="preserve"> </w:t>
      </w:r>
      <w:r>
        <w:t xml:space="preserve">minting stablecoin in the Lending RI (</w:t>
      </w:r>
      <w:hyperlink r:id="rId53">
        <w:r>
          <w:rPr>
            <w:rStyle w:val="VerbatimChar"/>
          </w:rPr>
          <w:t xml:space="preserve">02</w:t>
        </w:r>
      </w:hyperlink>
      <w:r>
        <w:t xml:space="preserve">). Both compose</w:t>
      </w:r>
      <w:r>
        <w:t xml:space="preserve"> </w:t>
      </w:r>
      <w:r>
        <w:t xml:space="preserve">over the shared</w:t>
      </w:r>
      <w:r>
        <w:t xml:space="preserve"> </w:t>
      </w:r>
      <w:r>
        <w:rPr>
          <w:rStyle w:val="VerbatimChar"/>
        </w:rPr>
        <w:t xml:space="preserve">SettlementFactory_SettleBatch</w:t>
      </w:r>
      <w:r>
        <w:t xml:space="preserve"> </w:t>
      </w:r>
      <w:r>
        <w:t xml:space="preserve">spine.</w:t>
      </w:r>
    </w:p>
    <w:p>
      <w:r>
        <w:pict>
          <v:rect style="width:0;height:1.5pt" o:hralign="center" o:hrstd="t" o:hr="t"/>
        </w:pict>
      </w:r>
    </w:p>
    <w:bookmarkEnd w:id="54"/>
    <w:bookmarkStart w:id="5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All interface, template, choice, and field names are grounded in real source in</w:t>
      </w:r>
      <w:r>
        <w:t xml:space="preserve"> </w:t>
      </w:r>
      <w:r>
        <w:t xml:space="preserve">this workspace (verified 2026-06-24).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Settlement spine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canton-specs/experiments/cip112-settlement/daml/OpenZeppelin/Experimental/Settlement/Cip112.daml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Holdings / rules / mint / preapproval / capability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canton-token-template/simple-token/daml/SimpleToken/{Holding,Rules,Preapproval}.daml</w:t>
      </w:r>
      <w:r>
        <w:t xml:space="preserve"> </w:t>
      </w:r>
      <w:r>
        <w:t xml:space="preserve">(</w:t>
      </w:r>
      <w:r>
        <w:rPr>
          <w:rStyle w:val="VerbatimChar"/>
        </w:rPr>
        <w:t xml:space="preserve">SimpleHolding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LockedSimpleHolding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_ForcedBurn</w:t>
      </w:r>
      <w:r>
        <w:t xml:space="preserve">,</w:t>
      </w:r>
      <w:r>
        <w:t xml:space="preserve"> </w:t>
      </w:r>
      <w:r>
        <w:rPr>
          <w:rStyle w:val="VerbatimChar"/>
        </w:rPr>
        <w:t xml:space="preserve">SimpleTokenRules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Rules_Mint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MintProposal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RoleCapability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Credential gating / verification</w:t>
      </w:r>
      <w:r>
        <w:t xml:space="preserve"> </w:t>
      </w:r>
      <w:r>
        <w:rPr>
          <w:rStyle w:val="VerbatimChar"/>
        </w:rPr>
        <w:t xml:space="preserve">[EVIDENCE]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zk-credential-gateway/daml/src/ZkCredentialGateway/{GatedAction,Verification,Types}.daml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Typed D3 identity (KycClaim, TrustedIssuerRegistry)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canton-specs/experiments/identity-hook-shape-b/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identity-hook-upgrade-*/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AL-7 primitives</w:t>
      </w:r>
      <w:r>
        <w:t xml:space="preserve"> </w:t>
      </w:r>
      <w:r>
        <w:rPr>
          <w:rStyle w:val="VerbatimChar"/>
        </w:rPr>
        <w:t xml:space="preserve">[IMPLEMENTED]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canton-specs</w:t>
      </w:r>
      <w:r>
        <w:t xml:space="preserve"> </w:t>
      </w:r>
      <w:r>
        <w:rPr>
          <w:rStyle w:val="VerbatimChar"/>
        </w:rPr>
        <w:t xml:space="preserve">access-control/</w:t>
      </w:r>
      <w:r>
        <w:t xml:space="preserve">,</w:t>
      </w:r>
      <w:r>
        <w:t xml:space="preserve"> </w:t>
      </w:r>
      <w:r>
        <w:rPr>
          <w:rStyle w:val="VerbatimChar"/>
        </w:rPr>
        <w:t xml:space="preserve">ownable/</w:t>
      </w:r>
      <w:r>
        <w:t xml:space="preserve">,</w:t>
      </w:r>
      <w:r>
        <w:t xml:space="preserve"> </w:t>
      </w:r>
      <w:r>
        <w:rPr>
          <w:rStyle w:val="VerbatimChar"/>
        </w:rPr>
        <w:t xml:space="preserve">pausable/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Decision authority (D1–D4), scope, SCU rule</w:t>
      </w:r>
      <w:r>
        <w:t xml:space="preserve"> </w:t>
      </w:r>
      <w:r>
        <w:t xml:space="preserve">— root</w:t>
      </w:r>
      <w:r>
        <w:t xml:space="preserve"> </w:t>
      </w:r>
      <w:hyperlink r:id="rId55">
        <w:r>
          <w:rPr>
            <w:rStyle w:val="VerbatimChar"/>
          </w:rPr>
          <w:t xml:space="preserve">PLAN.md</w:t>
        </w:r>
      </w:hyperlink>
      <w:r>
        <w:t xml:space="preserve">,</w:t>
      </w:r>
      <w:r>
        <w:t xml:space="preserve"> </w:t>
      </w:r>
      <w:hyperlink r:id="rId56">
        <w:r>
          <w:rPr>
            <w:rStyle w:val="VerbatimChar"/>
          </w:rPr>
          <w:t xml:space="preserve">AGENTS.md</w:t>
        </w:r>
      </w:hyperlink>
      <w:r>
        <w:t xml:space="preserve">, briefing</w:t>
      </w:r>
      <w:r>
        <w:t xml:space="preserve"> </w:t>
      </w:r>
      <w:hyperlink r:id="rId57">
        <w:r>
          <w:rPr>
            <w:rStyle w:val="VerbatimChar"/>
          </w:rPr>
          <w:t xml:space="preserve">docs/research/RI_RESEARCH_BRIEFING.md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Grant scope / milestones / deliverables (source of truth)</w:t>
      </w:r>
      <w:r>
        <w:t xml:space="preserve"> </w:t>
      </w:r>
      <w:r>
        <w:t xml:space="preserve">—</w:t>
      </w:r>
      <w:r>
        <w:t xml:space="preserve"> </w:t>
      </w:r>
      <w:hyperlink r:id="rId11">
        <w:r>
          <w:rPr>
            <w:rStyle w:val="VerbatimChar"/>
          </w:rPr>
          <w:t xml:space="preserve">docs/research/canton-ecosystem-grant-proposal.md</w:t>
        </w:r>
      </w:hyperlink>
      <w:r>
        <w:t xml:space="preserve"> </w:t>
      </w:r>
      <w:r>
        <w:t xml:space="preserve">(PR #298, approved; CIP-56→CIP-0112 retarget) and the distilled</w:t>
      </w:r>
      <w:r>
        <w:t xml:space="preserve"> </w:t>
      </w:r>
      <w:hyperlink r:id="rId12">
        <w:r>
          <w:rPr>
            <w:rStyle w:val="VerbatimChar"/>
          </w:rPr>
          <w:t xml:space="preserve">M4_AUCTION_SCOPE.md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Token Standard V2 upstream</w:t>
      </w:r>
      <w:r>
        <w:t xml:space="preserve"> </w:t>
      </w:r>
      <w:r>
        <w:rPr>
          <w:rStyle w:val="VerbatimChar"/>
        </w:rPr>
        <w:t xml:space="preserve">[UPSTREAM]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hyperledger-labs/splice</w:t>
      </w:r>
      <w:r>
        <w:t xml:space="preserve"> </w:t>
      </w:r>
      <w:r>
        <w:rPr>
          <w:rStyle w:val="VerbatimChar"/>
        </w:rPr>
        <w:t xml:space="preserve">token-standard-v2-upcoming</w:t>
      </w:r>
      <w:r>
        <w:t xml:space="preserve"> </w:t>
      </w:r>
      <w:r>
        <w:t xml:space="preserve">(import gated per PLAN.md).</w:t>
      </w:r>
    </w:p>
    <w:p>
      <w:pPr>
        <w:pStyle w:val="BlockText"/>
      </w:pPr>
      <w:r>
        <w:rPr>
          <w:b/>
          <w:bCs/>
        </w:rPr>
        <w:t xml:space="preserve">Removed in review:</w:t>
      </w:r>
      <w:r>
        <w:t xml:space="preserve"> </w:t>
      </w:r>
      <w:r>
        <w:t xml:space="preserve">the original draft cited external/non-workspace URLs</w:t>
      </w:r>
      <w:r>
        <w:t xml:space="preserve"> </w:t>
      </w:r>
      <w:r>
        <w:t xml:space="preserve">(iq.wiki, Halborn blog posts, the Canton white paper / digitalasset.com docs,</w:t>
      </w:r>
      <w:r>
        <w:t xml:space="preserve"> </w:t>
      </w:r>
      <w:r>
        <w:rPr>
          <w:rStyle w:val="VerbatimChar"/>
        </w:rPr>
        <w:t xml:space="preserve">cantonecosystem.com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srikanth-bitdynamics</w:t>
      </w:r>
      <w:r>
        <w:t xml:space="preserve"> </w:t>
      </w:r>
      <w:r>
        <w:t xml:space="preserve">GitHub, and — erroneously — an</w:t>
      </w:r>
      <w:r>
        <w:t xml:space="preserve"> </w:t>
      </w:r>
      <w:r>
        <w:t xml:space="preserve">unrelated 2003 software-engineering workshop paper on mediaTUM) as</w:t>
      </w:r>
      <w:r>
        <w:t xml:space="preserve"> </w:t>
      </w:r>
      <w:r>
        <w:t xml:space="preserve">authoritative sources. None are part of this workspace or an authoritative</w:t>
      </w:r>
      <w:r>
        <w:t xml:space="preserve"> </w:t>
      </w:r>
      <w:r>
        <w:t xml:space="preserve">spec; they were removed and replaced with the workspace-grounded references</w:t>
      </w:r>
      <w:r>
        <w:t xml:space="preserve"> </w:t>
      </w:r>
      <w:r>
        <w:t xml:space="preserve">above. See the review record in</w:t>
      </w:r>
      <w:r>
        <w:t xml:space="preserve"> </w:t>
      </w:r>
      <w:hyperlink r:id="rId58">
        <w:r>
          <w:rPr>
            <w:rStyle w:val="VerbatimChar"/>
          </w:rPr>
          <w:t xml:space="preserve">../reviews/2026-06-24T23-05-38Z_REVIEW.md</w:t>
        </w:r>
      </w:hyperlink>
      <w:r>
        <w:t xml:space="preserve">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hyperlink" Id="rId56" Target="../../AGENTS.md" TargetMode="External" /><Relationship Type="http://schemas.openxmlformats.org/officeDocument/2006/relationships/hyperlink" Id="rId12" Target="../../M4_AUCTION_SCOPE.md" TargetMode="External" /><Relationship Type="http://schemas.openxmlformats.org/officeDocument/2006/relationships/hyperlink" Id="rId55" Target="../../PLAN.md" TargetMode="External" /><Relationship Type="http://schemas.openxmlformats.org/officeDocument/2006/relationships/hyperlink" Id="rId57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58" Target="../reviews/2026-06-24T23-05-38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52" Target="./01-dex.md" TargetMode="External" /><Relationship Type="http://schemas.openxmlformats.org/officeDocument/2006/relationships/hyperlink" Id="rId53" Target="./02-lending.md" TargetMode="External" /><Relationship Type="http://schemas.openxmlformats.org/officeDocument/2006/relationships/hyperlink" Id="rId10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../../AGENTS.md" TargetMode="External" /><Relationship Type="http://schemas.openxmlformats.org/officeDocument/2006/relationships/hyperlink" Id="rId12" Target="../../M4_AUCTION_SCOPE.md" TargetMode="External" /><Relationship Type="http://schemas.openxmlformats.org/officeDocument/2006/relationships/hyperlink" Id="rId55" Target="../../PLAN.md" TargetMode="External" /><Relationship Type="http://schemas.openxmlformats.org/officeDocument/2006/relationships/hyperlink" Id="rId57" Target="../research/RI_RESEARCH_BRIEFING.md" TargetMode="External" /><Relationship Type="http://schemas.openxmlformats.org/officeDocument/2006/relationships/hyperlink" Id="rId11" Target="../research/canton-ecosystem-grant-proposal.md" TargetMode="External" /><Relationship Type="http://schemas.openxmlformats.org/officeDocument/2006/relationships/hyperlink" Id="rId58" Target="../reviews/2026-06-24T23-05-38Z_REVIEW.md" TargetMode="External" /><Relationship Type="http://schemas.openxmlformats.org/officeDocument/2006/relationships/hyperlink" Id="rId9" Target="./00-portfolio.md" TargetMode="External" /><Relationship Type="http://schemas.openxmlformats.org/officeDocument/2006/relationships/hyperlink" Id="rId52" Target="./01-dex.md" TargetMode="External" /><Relationship Type="http://schemas.openxmlformats.org/officeDocument/2006/relationships/hyperlink" Id="rId53" Target="./02-lending.md" TargetMode="External" /><Relationship Type="http://schemas.openxmlformats.org/officeDocument/2006/relationships/hyperlink" Id="rId10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2026-06-25T03:33:45Z</dcterms:created>
  <dcterms:modified xsi:type="dcterms:W3CDTF">2026-06-25T03:33:45Z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