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48"/>
        </w:rPr>
        <w:t>CHIPCHIP FINANCE KPI REPORT</w:t>
      </w:r>
    </w:p>
    <w:p>
      <w:pPr>
        <w:jc w:val="center"/>
      </w:pPr>
      <w:r>
        <w:rPr>
          <w:color w:val="666666"/>
          <w:sz w:val="28"/>
        </w:rPr>
        <w:t>COMPREHENSIVE REVIEW &amp; OPTIMIZATION RECOMMENDATIONS</w:t>
      </w:r>
    </w:p>
    <w:p>
      <w:pPr>
        <w:jc w:val="center"/>
      </w:pPr>
      <w:r>
        <w:rPr>
          <w:b/>
          <w:color w:val="1F4E79"/>
          <w:sz w:val="22"/>
        </w:rPr>
        <w:t>Based on: Finance KPI Report — Week 13, 2026 (Mar 19–25)</w:t>
      </w:r>
    </w:p>
    <w:p>
      <w:pPr>
        <w:jc w:val="center"/>
      </w:pPr>
      <w:r>
        <w:rPr>
          <w:b/>
          <w:color w:val="1F4E79"/>
          <w:sz w:val="22"/>
        </w:rPr>
        <w:t>Prepared: April 1, 2026</w:t>
      </w:r>
    </w:p>
    <w:p>
      <w:pPr>
        <w:jc w:val="center"/>
      </w:pPr>
      <w:r>
        <w:rPr>
          <w:color w:val="999999"/>
          <w:sz w:val="18"/>
        </w:rPr>
        <w:t>CONFIDENTIAL — FOR INTERNAL USE ONLY</w:t>
      </w:r>
    </w:p>
    <w:p>
      <w:r>
        <w:br w:type="page"/>
      </w:r>
    </w:p>
    <w:p>
      <w:pPr>
        <w:spacing w:before="360" w:after="120"/>
      </w:pPr>
      <w:r>
        <w:rPr>
          <w:b/>
          <w:color w:val="1F4E79"/>
          <w:sz w:val="28"/>
        </w:rPr>
        <w:t>Table of Contents</w:t>
      </w:r>
    </w:p>
    <w:p>
      <w:pPr>
        <w:spacing w:after="80"/>
      </w:pPr>
      <w:r>
        <w:rPr>
          <w:sz w:val="22"/>
        </w:rPr>
        <w:t>1.  Section 1: Executive Summary</w:t>
      </w:r>
    </w:p>
    <w:p>
      <w:pPr>
        <w:spacing w:after="80"/>
      </w:pPr>
      <w:r>
        <w:rPr>
          <w:sz w:val="22"/>
        </w:rPr>
        <w:t>2.  Section 2: Complete Page-by-Page Analysis of Current Report</w:t>
      </w:r>
    </w:p>
    <w:p>
      <w:pPr>
        <w:spacing w:after="80"/>
      </w:pPr>
      <w:r>
        <w:rPr>
          <w:sz w:val="22"/>
        </w:rPr>
        <w:t>3.  Section 3: 7 Key Findings</w:t>
      </w:r>
    </w:p>
    <w:p>
      <w:pPr>
        <w:spacing w:after="80"/>
      </w:pPr>
      <w:r>
        <w:rPr>
          <w:sz w:val="22"/>
        </w:rPr>
        <w:t>4.  Section 4: Proposed Report Structure</w:t>
      </w:r>
    </w:p>
    <w:p>
      <w:pPr>
        <w:spacing w:after="80"/>
      </w:pPr>
      <w:r>
        <w:rPr>
          <w:sz w:val="22"/>
        </w:rPr>
        <w:t>5.  Section 5: Section-by-Section Replacement Guide</w:t>
      </w:r>
    </w:p>
    <w:p>
      <w:pPr>
        <w:spacing w:after="80"/>
      </w:pPr>
      <w:r>
        <w:rPr>
          <w:sz w:val="22"/>
        </w:rPr>
        <w:t>6.  Section 6: Implementation Roadmap (2-Week Sprint)</w:t>
      </w:r>
    </w:p>
    <w:p>
      <w:pPr>
        <w:spacing w:after="80"/>
      </w:pPr>
      <w:r>
        <w:rPr>
          <w:sz w:val="22"/>
        </w:rPr>
        <w:t>7.  Section 7: Appendix — Full Proposed Report Template</w:t>
      </w:r>
    </w:p>
    <w:p>
      <w:pPr>
        <w:spacing w:after="80"/>
      </w:pPr>
      <w:r>
        <w:rPr>
          <w:sz w:val="22"/>
        </w:rPr>
        <w:t>8.  Closing Recommendations</w:t>
      </w:r>
    </w:p>
    <w:p>
      <w:r>
        <w:br w:type="page"/>
      </w:r>
    </w:p>
    <w:p>
      <w:pPr>
        <w:spacing w:before="360" w:after="120"/>
      </w:pPr>
      <w:r>
        <w:rPr>
          <w:b/>
          <w:color w:val="1F4E79"/>
          <w:sz w:val="28"/>
        </w:rPr>
        <w:t>Section 1: Executive Summary</w:t>
      </w:r>
    </w:p>
    <w:p>
      <w:pPr>
        <w:spacing w:after="60" w:line="276" w:lineRule="auto"/>
      </w:pPr>
      <w:r>
        <w:rPr>
          <w:b w:val="0"/>
          <w:i w:val="0"/>
          <w:sz w:val="21"/>
        </w:rPr>
        <w:t>The current Finance KPI Report (Week 13, 2026 — Mar 19–25) is 4 pages long but contains ZERO financial data. It is structured as a meeting discussion log rather than a performance dashboard. This document provides a complete, evidence-based review with a ready-to-implement replacement template.</w:t>
      </w:r>
    </w:p>
    <w:p>
      <w:pPr>
        <w:spacing w:before="280" w:after="80"/>
      </w:pPr>
      <w:r>
        <w:rPr>
          <w:b/>
          <w:color w:val="2E74B5"/>
          <w:sz w:val="24"/>
        </w:rPr>
        <w:t>What We Found</w:t>
      </w:r>
    </w:p>
    <w:p>
      <w:pPr>
        <w:spacing w:before="200" w:after="40"/>
      </w:pPr>
      <w:r>
        <w:rPr>
          <w:b/>
          <w:color w:val="C00000"/>
          <w:sz w:val="22"/>
        </w:rPr>
        <w:t xml:space="preserve">FINDING 1: </w:t>
      </w:r>
      <w:r>
        <w:rPr>
          <w:b/>
          <w:color w:val="2E74B5"/>
          <w:sz w:val="22"/>
        </w:rPr>
        <w:t>No Financial Metrics</w:t>
      </w:r>
    </w:p>
    <w:p>
      <w:pPr>
        <w:spacing w:after="60" w:line="276" w:lineRule="auto"/>
      </w:pPr>
      <w:r>
        <w:rPr>
          <w:b w:val="0"/>
          <w:i w:val="0"/>
          <w:sz w:val="21"/>
        </w:rPr>
        <w:t>The report contains no revenue figures, cost data, margin analysis, cash position, or any quantitative KPI. The only section with content is Grants, which tracks process status — not numbers.</w:t>
      </w:r>
    </w:p>
    <w:p>
      <w:pPr>
        <w:spacing w:before="200" w:after="40"/>
      </w:pPr>
      <w:r>
        <w:rPr>
          <w:b/>
          <w:color w:val="C00000"/>
          <w:sz w:val="22"/>
        </w:rPr>
        <w:t xml:space="preserve">FINDING 2: </w:t>
      </w:r>
      <w:r>
        <w:rPr>
          <w:b/>
          <w:color w:val="2E74B5"/>
          <w:sz w:val="22"/>
        </w:rPr>
        <w:t>Meetings Tracked, Not Performance</w:t>
      </w:r>
    </w:p>
    <w:p>
      <w:pPr>
        <w:spacing w:after="60" w:line="276" w:lineRule="auto"/>
      </w:pPr>
      <w:r>
        <w:rPr>
          <w:b w:val="0"/>
          <w:i w:val="0"/>
          <w:sz w:val="21"/>
        </w:rPr>
        <w:t>Every section follows Discussion Point → Responsible → Outcome → Timeline. That is meeting minutes format, not KPI format.</w:t>
      </w:r>
    </w:p>
    <w:p>
      <w:pPr>
        <w:spacing w:before="200" w:after="40"/>
      </w:pPr>
      <w:r>
        <w:rPr>
          <w:b/>
          <w:color w:val="C00000"/>
          <w:sz w:val="22"/>
        </w:rPr>
        <w:t xml:space="preserve">FINDING 3: </w:t>
      </w:r>
      <w:r>
        <w:rPr>
          <w:b/>
          <w:color w:val="2E74B5"/>
          <w:sz w:val="22"/>
        </w:rPr>
        <w:t>Deadlines Missed and Undefined</w:t>
      </w:r>
    </w:p>
    <w:p>
      <w:pPr>
        <w:spacing w:after="60" w:line="276" w:lineRule="auto"/>
      </w:pPr>
      <w:r>
        <w:rPr>
          <w:b w:val="0"/>
          <w:i w:val="0"/>
          <w:sz w:val="21"/>
        </w:rPr>
        <w:t>Multiple action items carry 'Undefined' as their timeline and past-due deadlines. The report cannot track accountability without this.</w:t>
      </w:r>
    </w:p>
    <w:p>
      <w:pPr>
        <w:spacing w:before="280" w:after="80"/>
      </w:pPr>
      <w:r>
        <w:rPr>
          <w:b/>
          <w:color w:val="2E74B5"/>
          <w:sz w:val="24"/>
        </w:rPr>
        <w:t>What We Recommend</w:t>
      </w:r>
    </w:p>
    <w:p>
      <w:pPr>
        <w:spacing w:after="60" w:line="276" w:lineRule="auto"/>
      </w:pPr>
      <w:r>
        <w:rPr>
          <w:b w:val="0"/>
          <w:i w:val="0"/>
          <w:sz w:val="21"/>
        </w:rPr>
        <w:t>Replace the current structure with a single-page KPI dashboard covering 5 sections: Revenue &amp; Margins, Cash &amp; Costs, Unit Economics, Grants &amp; Funding, Top Risks &amp; Actions. Use traffic-light colours on numbers (not on discussions). Close the loop by showing last week's actions as Done / In Progress / Overdue.</w:t>
      </w:r>
    </w:p>
    <w:p>
      <w:pPr>
        <w:spacing w:after="40"/>
        <w:ind w:left="283"/>
      </w:pPr>
      <w:r>
        <w:rPr>
          <w:b/>
          <w:color w:val="C05000"/>
          <w:sz w:val="21"/>
        </w:rPr>
        <w:t>🟠 HIGH: Report is structurally broken — fix before next reporting cycle</w:t>
      </w:r>
    </w:p>
    <w:p>
      <w:pPr>
        <w:spacing w:after="40"/>
        <w:ind w:left="283"/>
      </w:pPr>
      <w:r>
        <w:rPr>
          <w:sz w:val="21"/>
        </w:rPr>
        <w:t xml:space="preserve">  • Without numbers, the report cannot fulfil any of its 5 stated goals</w:t>
      </w:r>
    </w:p>
    <w:p>
      <w:pPr>
        <w:spacing w:after="40"/>
        <w:ind w:left="283"/>
      </w:pPr>
      <w:r>
        <w:rPr>
          <w:sz w:val="21"/>
        </w:rPr>
        <w:t xml:space="preserve">  • The current format consumes time but provides zero analytical value</w:t>
      </w:r>
    </w:p>
    <w:p>
      <w:pPr>
        <w:spacing w:after="40"/>
        <w:ind w:left="283"/>
      </w:pPr>
      <w:r>
        <w:rPr>
          <w:sz w:val="21"/>
        </w:rPr>
        <w:t xml:space="preserve">  • A 1-page replacement will be faster to prepare AND more useful</w:t>
      </w:r>
    </w:p>
    <w:p>
      <w:r>
        <w:br w:type="page"/>
      </w:r>
    </w:p>
    <w:p>
      <w:pPr>
        <w:spacing w:before="360" w:after="120"/>
      </w:pPr>
      <w:r>
        <w:rPr>
          <w:b/>
          <w:color w:val="1F4E79"/>
          <w:sz w:val="28"/>
        </w:rPr>
        <w:t>Section 2: Complete Page-by-Page Analysis</w:t>
      </w:r>
    </w:p>
    <w:p>
      <w:pPr>
        <w:spacing w:before="280" w:after="80"/>
      </w:pPr>
      <w:r>
        <w:rPr>
          <w:b/>
          <w:color w:val="2E74B5"/>
          <w:sz w:val="24"/>
        </w:rPr>
        <w:t>Page 1 — Title &amp; Goals</w:t>
      </w:r>
    </w:p>
    <w:p>
      <w:pPr>
        <w:spacing w:after="60" w:line="276" w:lineRule="auto"/>
      </w:pPr>
      <w:r>
        <w:rPr>
          <w:b/>
          <w:i w:val="0"/>
          <w:sz w:val="21"/>
        </w:rPr>
        <w:t>Contains the title, Deming quote, report period, and 5 goals. No data on this page.</w:t>
      </w:r>
    </w:p>
    <w:p>
      <w:pPr>
        <w:spacing w:after="60" w:line="276" w:lineRule="auto"/>
      </w:pPr>
      <w:r>
        <w:rPr>
          <w:b w:val="0"/>
          <w:i w:val="0"/>
          <w:sz w:val="21"/>
        </w:rPr>
        <w:t>Goals stated: Profitability, Cross-check efficiency, Reduce costs, Ensure data accuracy, Detect fraud</w:t>
      </w:r>
    </w:p>
    <w:p>
      <w:pPr>
        <w:spacing w:after="40"/>
        <w:ind w:left="283"/>
      </w:pPr>
      <w:r>
        <w:rPr>
          <w:b/>
          <w:color w:val="BF8F00"/>
          <w:sz w:val="21"/>
        </w:rPr>
        <w:t>🟡 MEDIUM: Goals page is unnecessary padding</w:t>
      </w:r>
    </w:p>
    <w:p>
      <w:pPr>
        <w:spacing w:after="40"/>
        <w:ind w:left="283"/>
      </w:pPr>
      <w:r>
        <w:rPr>
          <w:sz w:val="21"/>
        </w:rPr>
        <w:t xml:space="preserve">  • A Deming quote does not replace data</w:t>
      </w:r>
    </w:p>
    <w:p>
      <w:pPr>
        <w:spacing w:after="40"/>
        <w:ind w:left="283"/>
      </w:pPr>
      <w:r>
        <w:rPr>
          <w:sz w:val="21"/>
        </w:rPr>
        <w:t xml:space="preserve">  • Goals should be implicit in the KPI design — not listed separately</w:t>
      </w:r>
    </w:p>
    <w:p>
      <w:pPr>
        <w:spacing w:after="40"/>
        <w:ind w:left="283"/>
      </w:pPr>
      <w:r>
        <w:rPr>
          <w:sz w:val="21"/>
        </w:rPr>
        <w:t xml:space="preserve">  • Recommendation: Remove entirely. Use a one-line title bar.</w:t>
      </w:r>
    </w:p>
    <w:p>
      <w:pPr>
        <w:spacing w:before="280" w:after="80"/>
      </w:pPr>
      <w:r>
        <w:rPr>
          <w:b/>
          <w:color w:val="2E74B5"/>
          <w:sz w:val="24"/>
        </w:rPr>
        <w:t>Page 2 — Grants (Bealu)</w:t>
      </w:r>
    </w:p>
    <w:p>
      <w:pPr>
        <w:spacing w:after="60" w:line="276" w:lineRule="auto"/>
      </w:pPr>
      <w:r>
        <w:rPr>
          <w:b/>
          <w:i w:val="0"/>
          <w:sz w:val="21"/>
        </w:rPr>
        <w:t>Structure: 5 bullet points — Disbursement, Pipeline, Active Opportunities, KPI tracker, Next Actions. No numbers provided.</w:t>
      </w:r>
    </w:p>
    <w:p>
      <w:pPr>
        <w:spacing w:after="40"/>
        <w:ind w:left="283"/>
      </w:pPr>
      <w:r>
        <w:rPr>
          <w:b/>
          <w:color w:val="C05000"/>
          <w:sz w:val="21"/>
        </w:rPr>
        <w:t>🟠 HIGH: Grants section is hollow — no numbers</w:t>
      </w:r>
    </w:p>
    <w:p>
      <w:pPr>
        <w:spacing w:after="40"/>
        <w:ind w:left="283"/>
      </w:pPr>
      <w:r>
        <w:rPr>
          <w:sz w:val="21"/>
        </w:rPr>
        <w:t xml:space="preserve">  • 'Grant Disbursement Amount' — no amount listed</w:t>
      </w:r>
    </w:p>
    <w:p>
      <w:pPr>
        <w:spacing w:after="40"/>
        <w:ind w:left="283"/>
      </w:pPr>
      <w:r>
        <w:rPr>
          <w:sz w:val="21"/>
        </w:rPr>
        <w:t xml:space="preserve">  • 'Pipeline Status' — no pipeline value, no conversion rate</w:t>
      </w:r>
    </w:p>
    <w:p>
      <w:pPr>
        <w:spacing w:after="40"/>
        <w:ind w:left="283"/>
      </w:pPr>
      <w:r>
        <w:rPr>
          <w:sz w:val="21"/>
        </w:rPr>
        <w:t xml:space="preserve">  • 'Active Opportunities' — no count, no expected value</w:t>
      </w:r>
    </w:p>
    <w:p>
      <w:pPr>
        <w:spacing w:after="40"/>
        <w:ind w:left="283"/>
      </w:pPr>
      <w:r>
        <w:rPr>
          <w:sz w:val="21"/>
        </w:rPr>
        <w:t xml:space="preserve">  • 'KPI Tracker (Mesirat, CASA)' — no KPI values</w:t>
      </w:r>
    </w:p>
    <w:p>
      <w:pPr>
        <w:spacing w:after="40"/>
        <w:ind w:left="283"/>
      </w:pPr>
      <w:r>
        <w:rPr>
          <w:sz w:val="21"/>
        </w:rPr>
        <w:t xml:space="preserve">  • Without numbers, this is a task list, not a financial section</w:t>
      </w:r>
    </w:p>
    <w:p>
      <w:pPr>
        <w:spacing w:before="280" w:after="80"/>
      </w:pPr>
      <w:r>
        <w:rPr>
          <w:b/>
          <w:color w:val="2E74B5"/>
          <w:sz w:val="24"/>
        </w:rPr>
        <w:t>Page 3 — Discussion Points (Part 1)</w:t>
      </w:r>
    </w:p>
    <w:p>
      <w:pPr>
        <w:spacing w:after="60" w:line="276" w:lineRule="auto"/>
      </w:pPr>
      <w:r>
        <w:rPr>
          <w:b/>
          <w:i w:val="0"/>
          <w:sz w:val="21"/>
        </w:rPr>
        <w:t>Table: Last weeks' discussion points → Funding</w:t>
      </w:r>
    </w:p>
    <w:p>
      <w:pPr>
        <w:spacing w:after="40"/>
        <w:ind w:left="283"/>
      </w:pPr>
      <w:r>
        <w:rPr>
          <w:sz w:val="21"/>
        </w:rPr>
        <w:t xml:space="preserve">  • Slide review: Team voted keep (green) vs remove (red) — deadline Apr 2, outcome pending</w:t>
      </w:r>
    </w:p>
    <w:p>
      <w:pPr>
        <w:spacing w:after="40"/>
        <w:ind w:left="283"/>
      </w:pPr>
      <w:r>
        <w:rPr>
          <w:sz w:val="21"/>
        </w:rPr>
        <w:t xml:space="preserve">  • Data discrepancy: Bank system overload, timezone mismatch (ChipChip=UTC) — owners: Liliane/Bealu/Kira — timeline: Undefined</w:t>
      </w:r>
    </w:p>
    <w:p>
      <w:pPr>
        <w:spacing w:after="40"/>
        <w:ind w:left="283"/>
      </w:pPr>
      <w:r>
        <w:rPr>
          <w:b/>
          <w:color w:val="C00000"/>
          <w:sz w:val="21"/>
        </w:rPr>
        <w:t>🔴 CRITICAL: 'Undefined' is the most unacceptable status in a KPI report</w:t>
      </w:r>
    </w:p>
    <w:p>
      <w:pPr>
        <w:spacing w:after="40"/>
        <w:ind w:left="283"/>
      </w:pPr>
      <w:r>
        <w:rPr>
          <w:sz w:val="21"/>
        </w:rPr>
        <w:t xml:space="preserve">  • An action item with no deadline is a wish, not an action item</w:t>
      </w:r>
    </w:p>
    <w:p>
      <w:pPr>
        <w:spacing w:after="40"/>
        <w:ind w:left="283"/>
      </w:pPr>
      <w:r>
        <w:rPr>
          <w:sz w:val="21"/>
        </w:rPr>
        <w:t xml:space="preserve">  • Timeline = Undefined on a data accuracy issue means the root cause is NOT being addressed</w:t>
      </w:r>
    </w:p>
    <w:p>
      <w:pPr>
        <w:spacing w:after="40"/>
        <w:ind w:left="283"/>
      </w:pPr>
      <w:r>
        <w:rPr>
          <w:sz w:val="21"/>
        </w:rPr>
        <w:t xml:space="preserve">  • This is the highest-priority finding in the entire document</w:t>
      </w:r>
    </w:p>
    <w:p>
      <w:pPr>
        <w:spacing w:before="280" w:after="80"/>
      </w:pPr>
      <w:r>
        <w:rPr>
          <w:b/>
          <w:color w:val="2E74B5"/>
          <w:sz w:val="24"/>
        </w:rPr>
        <w:t>Page 4 — Discussion Points (Part 2) &amp; Actions</w:t>
      </w:r>
    </w:p>
    <w:p>
      <w:pPr>
        <w:spacing w:after="60" w:line="276" w:lineRule="auto"/>
      </w:pPr>
      <w:r>
        <w:rPr>
          <w:b/>
          <w:i w:val="0"/>
          <w:sz w:val="21"/>
        </w:rPr>
        <w:t>Second half of the discussion log:</w:t>
      </w:r>
    </w:p>
    <w:p>
      <w:pPr>
        <w:spacing w:after="40"/>
        <w:ind w:left="283"/>
      </w:pPr>
      <w:r>
        <w:rPr>
          <w:sz w:val="21"/>
        </w:rPr>
        <w:t xml:space="preserve">  • KPI voting sheet — traffic light system for slides — deadline Mar 26</w:t>
      </w:r>
    </w:p>
    <w:p>
      <w:pPr>
        <w:spacing w:after="40"/>
        <w:ind w:left="283"/>
      </w:pPr>
      <w:r>
        <w:rPr>
          <w:sz w:val="21"/>
        </w:rPr>
        <w:t xml:space="preserve">  • Cash flow slide improvement — add variance, target, error/date — owner: Befeker — Mar 26</w:t>
      </w:r>
    </w:p>
    <w:p>
      <w:pPr>
        <w:spacing w:after="40"/>
        <w:ind w:left="283"/>
      </w:pPr>
      <w:r>
        <w:rPr>
          <w:sz w:val="21"/>
        </w:rPr>
        <w:t xml:space="preserve">  • CP1 &amp; CP2 — source data from payment system (Supply Chain) — NO owner listed</w:t>
      </w:r>
    </w:p>
    <w:p>
      <w:pPr>
        <w:spacing w:after="40"/>
        <w:ind w:left="283"/>
      </w:pPr>
      <w:r>
        <w:rPr>
          <w:sz w:val="21"/>
        </w:rPr>
        <w:t xml:space="preserve">  • Logistics tracking — push data directly from app — NO owner listed</w:t>
      </w:r>
    </w:p>
    <w:p>
      <w:pPr>
        <w:spacing w:after="40"/>
        <w:ind w:left="283"/>
      </w:pPr>
      <w:r>
        <w:rPr>
          <w:b/>
          <w:color w:val="C05000"/>
          <w:sz w:val="21"/>
        </w:rPr>
        <w:t>🟠 HIGH: Action items lack owners and completion status</w:t>
      </w:r>
    </w:p>
    <w:p>
      <w:pPr>
        <w:spacing w:after="40"/>
        <w:ind w:left="283"/>
      </w:pPr>
      <w:r>
        <w:rPr>
          <w:sz w:val="21"/>
        </w:rPr>
        <w:t xml:space="preserve">  • CP1/CP2 data source change: no owner assigned</w:t>
      </w:r>
    </w:p>
    <w:p>
      <w:pPr>
        <w:spacing w:after="40"/>
        <w:ind w:left="283"/>
      </w:pPr>
      <w:r>
        <w:rPr>
          <w:sz w:val="21"/>
        </w:rPr>
        <w:t xml:space="preserve">  • Logistics app tracking: no owner assigned</w:t>
      </w:r>
    </w:p>
    <w:p>
      <w:pPr>
        <w:spacing w:after="40"/>
        <w:ind w:left="283"/>
      </w:pPr>
      <w:r>
        <w:rPr>
          <w:sz w:val="21"/>
        </w:rPr>
        <w:t xml:space="preserve">  • No Done column — impossible to know if Mar 26 actions were completed</w:t>
      </w:r>
    </w:p>
    <w:p>
      <w:r>
        <w:br w:type="page"/>
      </w:r>
    </w:p>
    <w:p>
      <w:pPr>
        <w:spacing w:before="360" w:after="120"/>
      </w:pPr>
      <w:r>
        <w:rPr>
          <w:b/>
          <w:color w:val="1F4E79"/>
          <w:sz w:val="28"/>
        </w:rPr>
        <w:t>Section 3: 7 Key Findings</w:t>
      </w:r>
    </w:p>
    <w:p>
      <w:pPr>
        <w:spacing w:before="360" w:after="120"/>
      </w:pPr>
      <w:r>
        <w:rPr>
          <w:b/>
          <w:color w:val="1F4E79"/>
          <w:sz w:val="28"/>
        </w:rPr>
        <w:t>Finding: ZERO FINANCIAL NUMBERS IN A FINANCE REPORT</w:t>
      </w:r>
    </w:p>
    <w:p>
      <w:pPr>
        <w:spacing w:after="60" w:line="276" w:lineRule="auto"/>
      </w:pPr>
      <w:r>
        <w:rPr>
          <w:b w:val="0"/>
          <w:i w:val="0"/>
          <w:sz w:val="21"/>
        </w:rPr>
        <w:t>The report title is 'Finance KPI Report' but contains no revenue, COGS, margin, cash position, unit economics, burn rate, or variance analysis. Grants is the only section and it tracks process items, not financial outcomes. KPI stands for Key Performance Indicator. Without indicators, the report has no KPIs.</w:t>
      </w:r>
    </w:p>
    <w:p>
      <w:r>
        <w:rPr>
          <w:i/>
          <w:color w:val="C05000"/>
          <w:sz w:val="21"/>
        </w:rPr>
        <w:t>Impact: Foundational problem — makes every other issue secondary</w:t>
      </w:r>
    </w:p>
    <w:p/>
    <w:p>
      <w:pPr>
        <w:spacing w:before="360" w:after="120"/>
      </w:pPr>
      <w:r>
        <w:rPr>
          <w:b/>
          <w:color w:val="1F4E79"/>
          <w:sz w:val="28"/>
        </w:rPr>
        <w:t>Finding: REPORT IS A MEETING LOG, NOT A DASHBOARD</w:t>
      </w:r>
    </w:p>
    <w:p>
      <w:pPr>
        <w:spacing w:after="60" w:line="276" w:lineRule="auto"/>
      </w:pPr>
      <w:r>
        <w:rPr>
          <w:b w:val="0"/>
          <w:i w:val="0"/>
          <w:sz w:val="21"/>
        </w:rPr>
        <w:t>Every section is Discussion Point → Responsible → Outcome → Timeline. This is meeting minutes format. Example: 'CP1 margin is 18% vs 22% target' (KPI) vs. 'Team discussed whether to source CP1 from Supply Chain' (meeting log). The document consistently uses the latter.</w:t>
      </w:r>
    </w:p>
    <w:p>
      <w:r>
        <w:rPr>
          <w:i/>
          <w:color w:val="C05000"/>
          <w:sz w:val="21"/>
        </w:rPr>
        <w:t>Impact: No decision-making value</w:t>
      </w:r>
    </w:p>
    <w:p/>
    <w:p>
      <w:pPr>
        <w:spacing w:before="360" w:after="120"/>
      </w:pPr>
      <w:r>
        <w:rPr>
          <w:b/>
          <w:color w:val="1F4E79"/>
          <w:sz w:val="28"/>
        </w:rPr>
        <w:t>Finding: CRITICAL DATA DISCREPANCY WITH NO RESOLUTION</w:t>
      </w:r>
    </w:p>
    <w:p>
      <w:pPr>
        <w:spacing w:after="60" w:line="276" w:lineRule="auto"/>
      </w:pPr>
      <w:r>
        <w:rPr>
          <w:b w:val="0"/>
          <w:i w:val="0"/>
          <w:sz w:val="21"/>
        </w:rPr>
        <w:t>Data discrepancy between ChipChip records and bank confirmations. Causes: (a) banks not sending payment confirmations (system overload), (b) timezone mismatch (ChipChip=UTC vs bank local TZ). Status: Undefined.</w:t>
      </w:r>
    </w:p>
    <w:p>
      <w:r>
        <w:rPr>
          <w:i/>
          <w:color w:val="C05000"/>
          <w:sz w:val="21"/>
        </w:rPr>
        <w:t>Impact: Highest priority — data integrity failure</w:t>
      </w:r>
    </w:p>
    <w:p/>
    <w:p>
      <w:pPr>
        <w:spacing w:before="360" w:after="120"/>
      </w:pPr>
      <w:r>
        <w:rPr>
          <w:b/>
          <w:color w:val="1F4E79"/>
          <w:sz w:val="28"/>
        </w:rPr>
        <w:t>Finding: SLIDES BEING DESIGNED FOR DESIGN SAKE</w:t>
      </w:r>
    </w:p>
    <w:p>
      <w:pPr>
        <w:spacing w:after="60" w:line="276" w:lineRule="auto"/>
      </w:pPr>
      <w:r>
        <w:rPr>
          <w:b w:val="0"/>
          <w:i w:val="0"/>
          <w:sz w:val="21"/>
        </w:rPr>
        <w:t>Significant time spent on slide voting (green/red) — effort goes to aesthetics, not financial data. The question should be 'what numbers do we need?' not 'which slides?'</w:t>
      </w:r>
    </w:p>
    <w:p>
      <w:r>
        <w:rPr>
          <w:i/>
          <w:color w:val="C05000"/>
          <w:sz w:val="21"/>
        </w:rPr>
        <w:t>Impact: Misplaced effort</w:t>
      </w:r>
    </w:p>
    <w:p/>
    <w:p>
      <w:pPr>
        <w:spacing w:before="360" w:after="120"/>
      </w:pPr>
      <w:r>
        <w:rPr>
          <w:b/>
          <w:color w:val="1F4E79"/>
          <w:sz w:val="28"/>
        </w:rPr>
        <w:t>Finding: CP1 / CP2 DATA SOURCE UNCLEAR</w:t>
      </w:r>
    </w:p>
    <w:p>
      <w:pPr>
        <w:spacing w:after="60" w:line="276" w:lineRule="auto"/>
      </w:pPr>
      <w:r>
        <w:rPr>
          <w:b w:val="0"/>
          <w:i w:val="0"/>
          <w:sz w:val="21"/>
        </w:rPr>
        <w:t>Page 4 says CP1 and CP2 should be taken from the payment system. No owner assigned, no deadline set, unclear if the system has this data. These are the most important KPIs for the business.</w:t>
      </w:r>
    </w:p>
    <w:p>
      <w:r>
        <w:rPr>
          <w:i/>
          <w:color w:val="C05000"/>
          <w:sz w:val="21"/>
        </w:rPr>
        <w:t>Impact: Critical metrics orphaned</w:t>
      </w:r>
    </w:p>
    <w:p/>
    <w:p>
      <w:pPr>
        <w:spacing w:before="360" w:after="120"/>
      </w:pPr>
      <w:r>
        <w:rPr>
          <w:b/>
          <w:color w:val="1F4E79"/>
          <w:sz w:val="28"/>
        </w:rPr>
        <w:t>Finding: ACTION ITEMS LACK OWNERS AND TRACKING</w:t>
      </w:r>
    </w:p>
    <w:p>
      <w:pPr>
        <w:spacing w:after="60" w:line="276" w:lineRule="auto"/>
      </w:pPr>
      <w:r>
        <w:rPr>
          <w:b w:val="0"/>
          <w:i w:val="0"/>
          <w:sz w:val="21"/>
        </w:rPr>
        <w:t>CP1/CP2 data source: no owner. Logistics app tracking: no owner. Deadlines are past (Mar 26). No Done column. If you cannot tell which last week actions are complete, the report fails accountability.</w:t>
      </w:r>
    </w:p>
    <w:p>
      <w:r>
        <w:rPr>
          <w:i/>
          <w:color w:val="C05000"/>
          <w:sz w:val="21"/>
        </w:rPr>
        <w:t>Impact: Broken accountability loop</w:t>
      </w:r>
    </w:p>
    <w:p/>
    <w:p>
      <w:pPr>
        <w:spacing w:before="360" w:after="120"/>
      </w:pPr>
      <w:r>
        <w:rPr>
          <w:b/>
          <w:color w:val="1F4E79"/>
          <w:sz w:val="28"/>
        </w:rPr>
        <w:t>Finding: REPORT COSTS MORE TIME THAN IT SAVES</w:t>
      </w:r>
    </w:p>
    <w:p>
      <w:pPr>
        <w:spacing w:after="60" w:line="276" w:lineRule="auto"/>
      </w:pPr>
      <w:r>
        <w:rPr>
          <w:b w:val="0"/>
          <w:i w:val="0"/>
          <w:sz w:val="21"/>
        </w:rPr>
        <w:t>4 pages of meeting notes that take time to compile but provide no decision-ready data. A 1-page KPI with traffic-light numbers takes 10 minutes to read and 20 minutes to prepare.</w:t>
      </w:r>
    </w:p>
    <w:p>
      <w:r>
        <w:rPr>
          <w:i/>
          <w:color w:val="C05000"/>
          <w:sz w:val="21"/>
        </w:rPr>
        <w:t>Impact: Negative ROI on reporting time</w:t>
      </w:r>
    </w:p>
    <w:p/>
    <w:p>
      <w:r>
        <w:br w:type="page"/>
      </w:r>
    </w:p>
    <w:p>
      <w:pPr>
        <w:spacing w:before="360" w:after="120"/>
      </w:pPr>
      <w:r>
        <w:rPr>
          <w:b/>
          <w:color w:val="1F4E79"/>
          <w:sz w:val="28"/>
        </w:rPr>
        <w:t>Section 4: Proposed Report Structure</w:t>
      </w:r>
    </w:p>
    <w:p>
      <w:pPr>
        <w:spacing w:after="60" w:line="276" w:lineRule="auto"/>
      </w:pPr>
      <w:r>
        <w:rPr>
          <w:b/>
          <w:i w:val="0"/>
          <w:sz w:val="21"/>
        </w:rPr>
        <w:t>The replacement report should be exactly ONE PAGE (front). A second page for risk details is acceptable — the KPI summary must be scannable in 60 seconds.</w:t>
      </w:r>
    </w:p>
    <w:p>
      <w:pPr>
        <w:spacing w:before="280" w:after="80"/>
      </w:pPr>
      <w:r>
        <w:rPr>
          <w:b/>
          <w:color w:val="2E74B5"/>
          <w:sz w:val="24"/>
        </w:rPr>
        <w:t>Design Principles</w:t>
      </w:r>
    </w:p>
    <w:p>
      <w:pPr>
        <w:spacing w:after="40"/>
        <w:ind w:left="283"/>
      </w:pPr>
      <w:r>
        <w:rPr>
          <w:sz w:val="21"/>
        </w:rPr>
        <w:t xml:space="preserve">  • Every section must contain at least ONE number</w:t>
      </w:r>
    </w:p>
    <w:p>
      <w:pPr>
        <w:spacing w:after="40"/>
        <w:ind w:left="283"/>
      </w:pPr>
      <w:r>
        <w:rPr>
          <w:sz w:val="21"/>
        </w:rPr>
        <w:t xml:space="preserve">  • Traffic lights on metrics, not on discussions</w:t>
      </w:r>
    </w:p>
    <w:p>
      <w:pPr>
        <w:spacing w:after="40"/>
        <w:ind w:left="283"/>
      </w:pPr>
      <w:r>
        <w:rPr>
          <w:sz w:val="21"/>
        </w:rPr>
        <w:t xml:space="preserve">  • Show last week's actions: Done / In Progress / Overdue</w:t>
      </w:r>
    </w:p>
    <w:p>
      <w:pPr>
        <w:spacing w:after="40"/>
        <w:ind w:left="283"/>
      </w:pPr>
      <w:r>
        <w:rPr>
          <w:sz w:val="21"/>
        </w:rPr>
        <w:t xml:space="preserve">  • No quotes, no goals lists, no philosophy — just data</w:t>
      </w:r>
    </w:p>
    <w:p>
      <w:pPr>
        <w:spacing w:after="40"/>
        <w:ind w:left="283"/>
      </w:pPr>
      <w:r>
        <w:rPr>
          <w:sz w:val="21"/>
        </w:rPr>
        <w:t xml:space="preserve">  • One owner for the entire report (rotate monthly)</w:t>
      </w:r>
    </w:p>
    <w:p>
      <w:pPr>
        <w:spacing w:after="40"/>
        <w:ind w:left="283"/>
      </w:pPr>
      <w:r>
        <w:rPr>
          <w:sz w:val="21"/>
        </w:rPr>
        <w:t xml:space="preserve">  • Distribute 24 hours before weekly call — 10 min read, 50 min discussion</w:t>
      </w:r>
    </w:p>
    <w:p>
      <w:pPr>
        <w:spacing w:before="280" w:after="80"/>
      </w:pPr>
      <w:r>
        <w:rPr>
          <w:b/>
          <w:color w:val="2E74B5"/>
          <w:sz w:val="24"/>
        </w:rPr>
        <w:t>Proposed Sections</w:t>
      </w:r>
    </w:p>
    <w:tbl>
      <w:tblPr>
        <w:tblW w:type="auto" w:w="0"/>
        <w:jc w:val="left"/>
        <w:tblLook w:firstColumn="1" w:firstRow="1" w:lastColumn="0" w:lastRow="0" w:noHBand="0" w:noVBand="1" w:val="04A0"/>
      </w:tblPr>
      <w:tblGrid>
        <w:gridCol w:w="3025"/>
        <w:gridCol w:w="3025"/>
        <w:gridCol w:w="3025"/>
      </w:tblGrid>
      <w:tr>
        <w:tc>
          <w:tcPr>
            <w:tcW w:type="dxa" w:w="3025"/>
            <w:shd w:fill="1F4E79" w:val="clear"/>
          </w:tcPr>
          <w:p>
            <w:r>
              <w:rPr>
                <w:b/>
                <w:color w:val="FFFFFF"/>
                <w:sz w:val="19"/>
              </w:rPr>
              <w:t>Section</w:t>
            </w:r>
          </w:p>
        </w:tc>
        <w:tc>
          <w:tcPr>
            <w:tcW w:type="dxa" w:w="3025"/>
            <w:shd w:fill="1F4E79" w:val="clear"/>
          </w:tcPr>
          <w:p>
            <w:r>
              <w:rPr>
                <w:b/>
                <w:color w:val="FFFFFF"/>
                <w:sz w:val="19"/>
              </w:rPr>
              <w:t>What It Covers</w:t>
            </w:r>
          </w:p>
        </w:tc>
        <w:tc>
          <w:tcPr>
            <w:tcW w:type="dxa" w:w="3025"/>
            <w:shd w:fill="1F4E79" w:val="clear"/>
          </w:tcPr>
          <w:p>
            <w:r>
              <w:rPr>
                <w:b/>
                <w:color w:val="FFFFFF"/>
                <w:sz w:val="19"/>
              </w:rPr>
              <w:t>Frequency</w:t>
            </w:r>
          </w:p>
        </w:tc>
      </w:tr>
      <w:tr>
        <w:tc>
          <w:tcPr>
            <w:tcW w:type="dxa" w:w="3025"/>
            <w:shd w:fill="FFFFFF" w:val="clear"/>
          </w:tcPr>
          <w:p>
            <w:r>
              <w:rPr>
                <w:b w:val="0"/>
                <w:sz w:val="19"/>
              </w:rPr>
              <w:t>1. Revenue &amp; Margins</w:t>
            </w:r>
          </w:p>
        </w:tc>
        <w:tc>
          <w:tcPr>
            <w:tcW w:type="dxa" w:w="3025"/>
            <w:shd w:fill="FFFFFF" w:val="clear"/>
          </w:tcPr>
          <w:p>
            <w:r>
              <w:rPr>
                <w:b w:val="0"/>
                <w:sz w:val="19"/>
              </w:rPr>
              <w:t>Actual Birr figures with targets and variances</w:t>
            </w:r>
          </w:p>
        </w:tc>
        <w:tc>
          <w:tcPr>
            <w:tcW w:type="dxa" w:w="3025"/>
            <w:shd w:fill="FFFFFF" w:val="clear"/>
          </w:tcPr>
          <w:p>
            <w:r>
              <w:rPr>
                <w:b w:val="0"/>
                <w:sz w:val="19"/>
              </w:rPr>
              <w:t>Weekly</w:t>
            </w:r>
          </w:p>
        </w:tc>
      </w:tr>
      <w:tr>
        <w:tc>
          <w:tcPr>
            <w:tcW w:type="dxa" w:w="3025"/>
            <w:shd w:fill="F2F2F2" w:val="clear"/>
          </w:tcPr>
          <w:p>
            <w:r>
              <w:rPr>
                <w:b w:val="0"/>
                <w:sz w:val="19"/>
              </w:rPr>
              <w:t>2. Cash &amp; Operating Costs</w:t>
            </w:r>
          </w:p>
        </w:tc>
        <w:tc>
          <w:tcPr>
            <w:tcW w:type="dxa" w:w="3025"/>
            <w:shd w:fill="F2F2F2" w:val="clear"/>
          </w:tcPr>
          <w:p>
            <w:r>
              <w:rPr>
                <w:b w:val="0"/>
                <w:sz w:val="19"/>
              </w:rPr>
              <w:t>Cash position, burn rate, top cost variances</w:t>
            </w:r>
          </w:p>
        </w:tc>
        <w:tc>
          <w:tcPr>
            <w:tcW w:type="dxa" w:w="3025"/>
            <w:shd w:fill="F2F2F2" w:val="clear"/>
          </w:tcPr>
          <w:p>
            <w:r>
              <w:rPr>
                <w:b w:val="0"/>
                <w:sz w:val="19"/>
              </w:rPr>
              <w:t>Weekly</w:t>
            </w:r>
          </w:p>
        </w:tc>
      </w:tr>
      <w:tr>
        <w:tc>
          <w:tcPr>
            <w:tcW w:type="dxa" w:w="3025"/>
            <w:shd w:fill="FFFFFF" w:val="clear"/>
          </w:tcPr>
          <w:p>
            <w:r>
              <w:rPr>
                <w:b w:val="0"/>
                <w:sz w:val="19"/>
              </w:rPr>
              <w:t>3. Unit Economics</w:t>
            </w:r>
          </w:p>
        </w:tc>
        <w:tc>
          <w:tcPr>
            <w:tcW w:type="dxa" w:w="3025"/>
            <w:shd w:fill="FFFFFF" w:val="clear"/>
          </w:tcPr>
          <w:p>
            <w:r>
              <w:rPr>
                <w:b w:val="0"/>
                <w:sz w:val="19"/>
              </w:rPr>
              <w:t>CP1, CP2, cost per delivery, cost per order</w:t>
            </w:r>
          </w:p>
        </w:tc>
        <w:tc>
          <w:tcPr>
            <w:tcW w:type="dxa" w:w="3025"/>
            <w:shd w:fill="FFFFFF" w:val="clear"/>
          </w:tcPr>
          <w:p>
            <w:r>
              <w:rPr>
                <w:b w:val="0"/>
                <w:sz w:val="19"/>
              </w:rPr>
              <w:t>Weekly</w:t>
            </w:r>
          </w:p>
        </w:tc>
      </w:tr>
      <w:tr>
        <w:tc>
          <w:tcPr>
            <w:tcW w:type="dxa" w:w="3025"/>
            <w:shd w:fill="F2F2F2" w:val="clear"/>
          </w:tcPr>
          <w:p>
            <w:r>
              <w:rPr>
                <w:b w:val="0"/>
                <w:sz w:val="19"/>
              </w:rPr>
              <w:t>4. Grants &amp; Funding</w:t>
            </w:r>
          </w:p>
        </w:tc>
        <w:tc>
          <w:tcPr>
            <w:tcW w:type="dxa" w:w="3025"/>
            <w:shd w:fill="F2F2F2" w:val="clear"/>
          </w:tcPr>
          <w:p>
            <w:r>
              <w:rPr>
                <w:b w:val="0"/>
                <w:sz w:val="19"/>
              </w:rPr>
              <w:t>Disbursed, pipeline, active opportunities with amounts</w:t>
            </w:r>
          </w:p>
        </w:tc>
        <w:tc>
          <w:tcPr>
            <w:tcW w:type="dxa" w:w="3025"/>
            <w:shd w:fill="F2F2F2" w:val="clear"/>
          </w:tcPr>
          <w:p>
            <w:r>
              <w:rPr>
                <w:b w:val="0"/>
                <w:sz w:val="19"/>
              </w:rPr>
              <w:t>Weekly</w:t>
            </w:r>
          </w:p>
        </w:tc>
      </w:tr>
      <w:tr>
        <w:tc>
          <w:tcPr>
            <w:tcW w:type="dxa" w:w="3025"/>
            <w:shd w:fill="FFFFFF" w:val="clear"/>
          </w:tcPr>
          <w:p>
            <w:r>
              <w:rPr>
                <w:b w:val="0"/>
                <w:sz w:val="19"/>
              </w:rPr>
              <w:t>5. Top 3 Risks &amp; Actions</w:t>
            </w:r>
          </w:p>
        </w:tc>
        <w:tc>
          <w:tcPr>
            <w:tcW w:type="dxa" w:w="3025"/>
            <w:shd w:fill="FFFFFF" w:val="clear"/>
          </w:tcPr>
          <w:p>
            <w:r>
              <w:rPr>
                <w:b w:val="0"/>
                <w:sz w:val="19"/>
              </w:rPr>
              <w:t>What is broken, who owns it, status</w:t>
            </w:r>
          </w:p>
        </w:tc>
        <w:tc>
          <w:tcPr>
            <w:tcW w:type="dxa" w:w="3025"/>
            <w:shd w:fill="FFFFFF" w:val="clear"/>
          </w:tcPr>
          <w:p>
            <w:r>
              <w:rPr>
                <w:b w:val="0"/>
                <w:sz w:val="19"/>
              </w:rPr>
              <w:t>Weekly</w:t>
            </w:r>
          </w:p>
        </w:tc>
      </w:tr>
    </w:tbl>
    <w:p/>
    <w:p>
      <w:pPr>
        <w:spacing w:before="280" w:after="80"/>
      </w:pPr>
      <w:r>
        <w:rPr>
          <w:b/>
          <w:color w:val="2E74B5"/>
          <w:sz w:val="24"/>
        </w:rPr>
        <w:t>Visual Design</w:t>
      </w:r>
    </w:p>
    <w:p>
      <w:pPr>
        <w:spacing w:after="40"/>
        <w:ind w:left="283"/>
      </w:pPr>
      <w:r>
        <w:rPr>
          <w:sz w:val="21"/>
        </w:rPr>
        <w:t xml:space="preserve">  • One-page grid layout — dashboard card style</w:t>
      </w:r>
    </w:p>
    <w:p>
      <w:pPr>
        <w:spacing w:after="40"/>
        <w:ind w:left="283"/>
      </w:pPr>
      <w:r>
        <w:rPr>
          <w:sz w:val="21"/>
        </w:rPr>
        <w:t xml:space="preserve">  • Each metric: Value | Target | Variance | Status</w:t>
      </w:r>
    </w:p>
    <w:p>
      <w:pPr>
        <w:spacing w:after="40"/>
        <w:ind w:left="283"/>
      </w:pPr>
      <w:r>
        <w:rPr>
          <w:sz w:val="21"/>
        </w:rPr>
        <w:t xml:space="preserve">  • Data Confidence score: [92%] or [⚠️ 78% — see Note 1]</w:t>
      </w:r>
    </w:p>
    <w:p>
      <w:pPr>
        <w:spacing w:after="40"/>
        <w:ind w:left="283"/>
      </w:pPr>
      <w:r>
        <w:rPr>
          <w:sz w:val="21"/>
        </w:rPr>
        <w:t xml:space="preserve">  • ChipChip brand colours — white/red/black, clean layout</w:t>
      </w:r>
    </w:p>
    <w:p>
      <w:pPr>
        <w:spacing w:after="40"/>
        <w:ind w:left="283"/>
      </w:pPr>
      <w:r>
        <w:rPr>
          <w:sz w:val="21"/>
        </w:rPr>
        <w:t xml:space="preserve">  • PDF export only — prevent tampering</w:t>
      </w:r>
    </w:p>
    <w:p>
      <w:r>
        <w:br w:type="page"/>
      </w:r>
    </w:p>
    <w:p>
      <w:pPr>
        <w:spacing w:before="360" w:after="120"/>
      </w:pPr>
      <w:r>
        <w:rPr>
          <w:b/>
          <w:color w:val="1F4E79"/>
          <w:sz w:val="28"/>
        </w:rPr>
        <w:t>Section 5: Section-by-Section Replacement Guide</w:t>
      </w:r>
    </w:p>
    <w:p>
      <w:pPr>
        <w:spacing w:before="280" w:after="80"/>
      </w:pPr>
      <w:r>
        <w:rPr>
          <w:b/>
          <w:color w:val="2E74B5"/>
          <w:sz w:val="24"/>
        </w:rPr>
        <w:t>REMOVE</w:t>
      </w:r>
    </w:p>
    <w:p>
      <w:pPr>
        <w:spacing w:after="40"/>
        <w:ind w:left="283"/>
      </w:pPr>
      <w:r>
        <w:rPr>
          <w:b/>
          <w:color w:val="C05000"/>
          <w:sz w:val="21"/>
        </w:rPr>
        <w:t>🟠 HIGH: Page 1 (Deming quote, goals list) — DELETE</w:t>
      </w:r>
    </w:p>
    <w:p>
      <w:pPr>
        <w:spacing w:after="40"/>
        <w:ind w:left="283"/>
      </w:pPr>
      <w:r>
        <w:rPr>
          <w:b/>
          <w:color w:val="C05000"/>
          <w:sz w:val="21"/>
        </w:rPr>
        <w:t>🟠 HIGH: KPI Voting Sheet table — move to meeting notes only</w:t>
      </w:r>
    </w:p>
    <w:p>
      <w:pPr>
        <w:spacing w:after="40"/>
        <w:ind w:left="283"/>
      </w:pPr>
      <w:r>
        <w:rPr>
          <w:b/>
          <w:color w:val="C05000"/>
          <w:sz w:val="21"/>
        </w:rPr>
        <w:t>🟠 HIGH: All Discussion Points tables — belong in meeting minutes</w:t>
      </w:r>
    </w:p>
    <w:p>
      <w:pPr>
        <w:spacing w:after="40"/>
        <w:ind w:left="283"/>
      </w:pPr>
      <w:r>
        <w:rPr>
          <w:b/>
          <w:color w:val="C05000"/>
          <w:sz w:val="21"/>
        </w:rPr>
        <w:t>🟠 HIGH: Slide Review voting results — irrelevant to performance</w:t>
      </w:r>
    </w:p>
    <w:p>
      <w:pPr>
        <w:spacing w:after="40"/>
        <w:ind w:left="283"/>
      </w:pPr>
      <w:r>
        <w:rPr>
          <w:b/>
          <w:color w:val="C05000"/>
          <w:sz w:val="21"/>
        </w:rPr>
        <w:t>🟠 HIGH: Any section without a financial number</w:t>
      </w:r>
    </w:p>
    <w:p>
      <w:pPr>
        <w:spacing w:before="280" w:after="80"/>
      </w:pPr>
      <w:r>
        <w:rPr>
          <w:b/>
          <w:color w:val="2E74B5"/>
          <w:sz w:val="24"/>
        </w:rPr>
        <w:t>TRANSFORM</w:t>
      </w:r>
    </w:p>
    <w:p>
      <w:pPr>
        <w:spacing w:after="60" w:line="276" w:lineRule="auto"/>
      </w:pPr>
      <w:r>
        <w:rPr>
          <w:b/>
          <w:i w:val="0"/>
          <w:sz w:val="21"/>
        </w:rPr>
        <w:t>Grants section:</w:t>
      </w:r>
    </w:p>
    <w:p>
      <w:pPr>
        <w:spacing w:after="60" w:line="276" w:lineRule="auto"/>
        <w:ind w:left="357"/>
      </w:pPr>
      <w:r>
        <w:rPr>
          <w:b w:val="0"/>
          <w:i w:val="0"/>
          <w:sz w:val="21"/>
        </w:rPr>
        <w:t>Add: Disbursement Birr, pipeline value, conversion rate. Remove: bullet-task lines without numbers.</w:t>
      </w:r>
    </w:p>
    <w:p>
      <w:pPr>
        <w:spacing w:after="60" w:line="276" w:lineRule="auto"/>
      </w:pPr>
      <w:r>
        <w:rPr>
          <w:b/>
          <w:i w:val="0"/>
          <w:sz w:val="21"/>
        </w:rPr>
        <w:t>CP1/CP2 discussion:</w:t>
      </w:r>
    </w:p>
    <w:p>
      <w:pPr>
        <w:spacing w:after="60" w:line="276" w:lineRule="auto"/>
        <w:ind w:left="357"/>
      </w:pPr>
      <w:r>
        <w:rPr>
          <w:b w:val="0"/>
          <w:i w:val="0"/>
          <w:sz w:val="21"/>
        </w:rPr>
        <w:t>Stop debating data sources. Define formulas. Automate extraction. Report: CP1 = X% (target Y%).</w:t>
      </w:r>
    </w:p>
    <w:p>
      <w:pPr>
        <w:spacing w:after="60" w:line="276" w:lineRule="auto"/>
      </w:pPr>
      <w:r>
        <w:rPr>
          <w:b/>
          <w:i w:val="0"/>
          <w:sz w:val="21"/>
        </w:rPr>
        <w:t>Data discrepancy issue:</w:t>
      </w:r>
    </w:p>
    <w:p>
      <w:pPr>
        <w:spacing w:after="60" w:line="276" w:lineRule="auto"/>
        <w:ind w:left="357"/>
      </w:pPr>
      <w:r>
        <w:rPr>
          <w:b w:val="0"/>
          <w:i w:val="0"/>
          <w:sz w:val="21"/>
        </w:rPr>
        <w:t>Move to Risk #1 in Top Risks. Assign owner + deadline. Track weekly until resolved.</w:t>
      </w:r>
    </w:p>
    <w:p>
      <w:pPr>
        <w:spacing w:after="60" w:line="276" w:lineRule="auto"/>
      </w:pPr>
      <w:r>
        <w:rPr>
          <w:b/>
          <w:i w:val="0"/>
          <w:sz w:val="21"/>
        </w:rPr>
        <w:t>Cash flow slide suggestion:</w:t>
      </w:r>
    </w:p>
    <w:p>
      <w:pPr>
        <w:spacing w:after="60" w:line="276" w:lineRule="auto"/>
        <w:ind w:left="357"/>
      </w:pPr>
      <w:r>
        <w:rPr>
          <w:b w:val="0"/>
          <w:i w:val="0"/>
          <w:sz w:val="21"/>
        </w:rPr>
        <w:t>Build it. Add line: Cash: X Birr | Variance: +/-Y% | Trend: Up/Down.</w:t>
      </w:r>
    </w:p>
    <w:p>
      <w:pPr>
        <w:spacing w:before="280" w:after="80"/>
      </w:pPr>
      <w:r>
        <w:rPr>
          <w:b/>
          <w:color w:val="2E74B5"/>
          <w:sz w:val="24"/>
        </w:rPr>
        <w:t>ADD (Currently Missing)</w:t>
      </w:r>
    </w:p>
    <w:tbl>
      <w:tblPr>
        <w:tblW w:type="auto" w:w="0"/>
        <w:jc w:val="left"/>
        <w:tblLook w:firstColumn="1" w:firstRow="1" w:lastColumn="0" w:lastRow="0" w:noHBand="0" w:noVBand="1" w:val="04A0"/>
      </w:tblPr>
      <w:tblGrid>
        <w:gridCol w:w="3025"/>
        <w:gridCol w:w="3025"/>
        <w:gridCol w:w="3025"/>
      </w:tblGrid>
      <w:tr>
        <w:tc>
          <w:tcPr>
            <w:tcW w:type="dxa" w:w="3025"/>
            <w:shd w:fill="1F4E79" w:val="clear"/>
          </w:tcPr>
          <w:p>
            <w:r>
              <w:rPr>
                <w:b/>
                <w:color w:val="FFFFFF"/>
                <w:sz w:val="19"/>
              </w:rPr>
              <w:t>Metric</w:t>
            </w:r>
          </w:p>
        </w:tc>
        <w:tc>
          <w:tcPr>
            <w:tcW w:type="dxa" w:w="3025"/>
            <w:shd w:fill="1F4E79" w:val="clear"/>
          </w:tcPr>
          <w:p>
            <w:r>
              <w:rPr>
                <w:b/>
                <w:color w:val="FFFFFF"/>
                <w:sz w:val="19"/>
              </w:rPr>
              <w:t>Missing Value</w:t>
            </w:r>
          </w:p>
        </w:tc>
        <w:tc>
          <w:tcPr>
            <w:tcW w:type="dxa" w:w="3025"/>
            <w:shd w:fill="1F4E79" w:val="clear"/>
          </w:tcPr>
          <w:p>
            <w:r>
              <w:rPr>
                <w:b/>
                <w:color w:val="FFFFFF"/>
                <w:sz w:val="19"/>
              </w:rPr>
              <w:t>Data Source</w:t>
            </w:r>
          </w:p>
        </w:tc>
      </w:tr>
      <w:tr>
        <w:tc>
          <w:tcPr>
            <w:tcW w:type="dxa" w:w="3025"/>
            <w:shd w:fill="FFFFFF" w:val="clear"/>
          </w:tcPr>
          <w:p>
            <w:r>
              <w:rPr>
                <w:b w:val="0"/>
                <w:sz w:val="19"/>
              </w:rPr>
              <w:t>Total Revenue</w:t>
            </w:r>
          </w:p>
        </w:tc>
        <w:tc>
          <w:tcPr>
            <w:tcW w:type="dxa" w:w="3025"/>
            <w:shd w:fill="FFFFFF" w:val="clear"/>
          </w:tcPr>
          <w:p>
            <w:r>
              <w:rPr>
                <w:b w:val="0"/>
                <w:sz w:val="19"/>
              </w:rPr>
              <w:t>Birr figure, B2B/B2C split</w:t>
            </w:r>
          </w:p>
        </w:tc>
        <w:tc>
          <w:tcPr>
            <w:tcW w:type="dxa" w:w="3025"/>
            <w:shd w:fill="FFFFFF" w:val="clear"/>
          </w:tcPr>
          <w:p>
            <w:r>
              <w:rPr>
                <w:b w:val="0"/>
                <w:sz w:val="19"/>
              </w:rPr>
              <w:t>E-commerce platform / payment system</w:t>
            </w:r>
          </w:p>
        </w:tc>
      </w:tr>
      <w:tr>
        <w:tc>
          <w:tcPr>
            <w:tcW w:type="dxa" w:w="3025"/>
            <w:shd w:fill="F2F2F2" w:val="clear"/>
          </w:tcPr>
          <w:p>
            <w:r>
              <w:rPr>
                <w:b w:val="0"/>
                <w:sz w:val="19"/>
              </w:rPr>
              <w:t>COGS</w:t>
            </w:r>
          </w:p>
        </w:tc>
        <w:tc>
          <w:tcPr>
            <w:tcW w:type="dxa" w:w="3025"/>
            <w:shd w:fill="F2F2F2" w:val="clear"/>
          </w:tcPr>
          <w:p>
            <w:r>
              <w:rPr>
                <w:b w:val="0"/>
                <w:sz w:val="19"/>
              </w:rPr>
              <w:t>Cost by product line</w:t>
            </w:r>
          </w:p>
        </w:tc>
        <w:tc>
          <w:tcPr>
            <w:tcW w:type="dxa" w:w="3025"/>
            <w:shd w:fill="F2F2F2" w:val="clear"/>
          </w:tcPr>
          <w:p>
            <w:r>
              <w:rPr>
                <w:b w:val="0"/>
                <w:sz w:val="19"/>
              </w:rPr>
              <w:t>Inventory system / supplier invoices</w:t>
            </w:r>
          </w:p>
        </w:tc>
      </w:tr>
      <w:tr>
        <w:tc>
          <w:tcPr>
            <w:tcW w:type="dxa" w:w="3025"/>
            <w:shd w:fill="FFFFFF" w:val="clear"/>
          </w:tcPr>
          <w:p>
            <w:r>
              <w:rPr>
                <w:b w:val="0"/>
                <w:sz w:val="19"/>
              </w:rPr>
              <w:t>CP1 (Gross Margin)</w:t>
            </w:r>
          </w:p>
        </w:tc>
        <w:tc>
          <w:tcPr>
            <w:tcW w:type="dxa" w:w="3025"/>
            <w:shd w:fill="FFFFFF" w:val="clear"/>
          </w:tcPr>
          <w:p>
            <w:r>
              <w:rPr>
                <w:b w:val="0"/>
                <w:sz w:val="19"/>
              </w:rPr>
              <w:t>Revenue minus COGS as %</w:t>
            </w:r>
          </w:p>
        </w:tc>
        <w:tc>
          <w:tcPr>
            <w:tcW w:type="dxa" w:w="3025"/>
            <w:shd w:fill="FFFFFF" w:val="clear"/>
          </w:tcPr>
          <w:p>
            <w:r>
              <w:rPr>
                <w:b w:val="0"/>
                <w:sz w:val="19"/>
              </w:rPr>
              <w:t>Automate from revenue + COGS</w:t>
            </w:r>
          </w:p>
        </w:tc>
      </w:tr>
      <w:tr>
        <w:tc>
          <w:tcPr>
            <w:tcW w:type="dxa" w:w="3025"/>
            <w:shd w:fill="F2F2F2" w:val="clear"/>
          </w:tcPr>
          <w:p>
            <w:r>
              <w:rPr>
                <w:b w:val="0"/>
                <w:sz w:val="19"/>
              </w:rPr>
              <w:t>CP2 (Net Margin)</w:t>
            </w:r>
          </w:p>
        </w:tc>
        <w:tc>
          <w:tcPr>
            <w:tcW w:type="dxa" w:w="3025"/>
            <w:shd w:fill="F2F2F2" w:val="clear"/>
          </w:tcPr>
          <w:p>
            <w:r>
              <w:rPr>
                <w:b w:val="0"/>
                <w:sz w:val="19"/>
              </w:rPr>
              <w:t>Revenue minus COGS minus warehouse minus delivery</w:t>
            </w:r>
          </w:p>
        </w:tc>
        <w:tc>
          <w:tcPr>
            <w:tcW w:type="dxa" w:w="3025"/>
            <w:shd w:fill="F2F2F2" w:val="clear"/>
          </w:tcPr>
          <w:p>
            <w:r>
              <w:rPr>
                <w:b w:val="0"/>
                <w:sz w:val="19"/>
              </w:rPr>
              <w:t>Add warehouse/delivery to CP1 calc</w:t>
            </w:r>
          </w:p>
        </w:tc>
      </w:tr>
      <w:tr>
        <w:tc>
          <w:tcPr>
            <w:tcW w:type="dxa" w:w="3025"/>
            <w:shd w:fill="FFFFFF" w:val="clear"/>
          </w:tcPr>
          <w:p>
            <w:r>
              <w:rPr>
                <w:b w:val="0"/>
                <w:sz w:val="19"/>
              </w:rPr>
              <w:t>Cash Position</w:t>
            </w:r>
          </w:p>
        </w:tc>
        <w:tc>
          <w:tcPr>
            <w:tcW w:type="dxa" w:w="3025"/>
            <w:shd w:fill="FFFFFF" w:val="clear"/>
          </w:tcPr>
          <w:p>
            <w:r>
              <w:rPr>
                <w:b w:val="0"/>
                <w:sz w:val="19"/>
              </w:rPr>
              <w:t>Current bank / float balance</w:t>
            </w:r>
          </w:p>
        </w:tc>
        <w:tc>
          <w:tcPr>
            <w:tcW w:type="dxa" w:w="3025"/>
            <w:shd w:fill="FFFFFF" w:val="clear"/>
          </w:tcPr>
          <w:p>
            <w:r>
              <w:rPr>
                <w:b w:val="0"/>
                <w:sz w:val="19"/>
              </w:rPr>
              <w:t>Bank statements / aggregator</w:t>
            </w:r>
          </w:p>
        </w:tc>
      </w:tr>
      <w:tr>
        <w:tc>
          <w:tcPr>
            <w:tcW w:type="dxa" w:w="3025"/>
            <w:shd w:fill="F2F2F2" w:val="clear"/>
          </w:tcPr>
          <w:p>
            <w:r>
              <w:rPr>
                <w:b w:val="0"/>
                <w:sz w:val="19"/>
              </w:rPr>
              <w:t>Burn Rate</w:t>
            </w:r>
          </w:p>
        </w:tc>
        <w:tc>
          <w:tcPr>
            <w:tcW w:type="dxa" w:w="3025"/>
            <w:shd w:fill="F2F2F2" w:val="clear"/>
          </w:tcPr>
          <w:p>
            <w:r>
              <w:rPr>
                <w:b w:val="0"/>
                <w:sz w:val="19"/>
              </w:rPr>
              <w:t>Weekly cash consumption</w:t>
            </w:r>
          </w:p>
        </w:tc>
        <w:tc>
          <w:tcPr>
            <w:tcW w:type="dxa" w:w="3025"/>
            <w:shd w:fill="F2F2F2" w:val="clear"/>
          </w:tcPr>
          <w:p>
            <w:r>
              <w:rPr>
                <w:b w:val="0"/>
                <w:sz w:val="19"/>
              </w:rPr>
              <w:t>OpEx tracker</w:t>
            </w:r>
          </w:p>
        </w:tc>
      </w:tr>
      <w:tr>
        <w:tc>
          <w:tcPr>
            <w:tcW w:type="dxa" w:w="3025"/>
            <w:shd w:fill="FFFFFF" w:val="clear"/>
          </w:tcPr>
          <w:p>
            <w:r>
              <w:rPr>
                <w:b w:val="0"/>
                <w:sz w:val="19"/>
              </w:rPr>
              <w:t>Cost Variance</w:t>
            </w:r>
          </w:p>
        </w:tc>
        <w:tc>
          <w:tcPr>
            <w:tcW w:type="dxa" w:w="3025"/>
            <w:shd w:fill="FFFFFF" w:val="clear"/>
          </w:tcPr>
          <w:p>
            <w:r>
              <w:rPr>
                <w:b w:val="0"/>
                <w:sz w:val="19"/>
              </w:rPr>
              <w:t>Top 3 items over budget</w:t>
            </w:r>
          </w:p>
        </w:tc>
        <w:tc>
          <w:tcPr>
            <w:tcW w:type="dxa" w:w="3025"/>
            <w:shd w:fill="FFFFFF" w:val="clear"/>
          </w:tcPr>
          <w:p>
            <w:r>
              <w:rPr>
                <w:b w:val="0"/>
                <w:sz w:val="19"/>
              </w:rPr>
              <w:t>Expense ledger vs budget</w:t>
            </w:r>
          </w:p>
        </w:tc>
      </w:tr>
      <w:tr>
        <w:tc>
          <w:tcPr>
            <w:tcW w:type="dxa" w:w="3025"/>
            <w:shd w:fill="F2F2F2" w:val="clear"/>
          </w:tcPr>
          <w:p>
            <w:r>
              <w:rPr>
                <w:b w:val="0"/>
                <w:sz w:val="19"/>
              </w:rPr>
              <w:t>Grant Disbursement</w:t>
            </w:r>
          </w:p>
        </w:tc>
        <w:tc>
          <w:tcPr>
            <w:tcW w:type="dxa" w:w="3025"/>
            <w:shd w:fill="F2F2F2" w:val="clear"/>
          </w:tcPr>
          <w:p>
            <w:r>
              <w:rPr>
                <w:b w:val="0"/>
                <w:sz w:val="19"/>
              </w:rPr>
              <w:t>Actual ETB received this week</w:t>
            </w:r>
          </w:p>
        </w:tc>
        <w:tc>
          <w:tcPr>
            <w:tcW w:type="dxa" w:w="3025"/>
            <w:shd w:fill="F2F2F2" w:val="clear"/>
          </w:tcPr>
          <w:p>
            <w:r>
              <w:rPr>
                <w:b w:val="0"/>
                <w:sz w:val="19"/>
              </w:rPr>
              <w:t>Grant tracking (Bealu)</w:t>
            </w:r>
          </w:p>
        </w:tc>
      </w:tr>
      <w:tr>
        <w:tc>
          <w:tcPr>
            <w:tcW w:type="dxa" w:w="3025"/>
            <w:shd w:fill="FFFFFF" w:val="clear"/>
          </w:tcPr>
          <w:p>
            <w:r>
              <w:rPr>
                <w:b w:val="0"/>
                <w:sz w:val="19"/>
              </w:rPr>
              <w:t>Confidence Score</w:t>
            </w:r>
          </w:p>
        </w:tc>
        <w:tc>
          <w:tcPr>
            <w:tcW w:type="dxa" w:w="3025"/>
            <w:shd w:fill="FFFFFF" w:val="clear"/>
          </w:tcPr>
          <w:p>
            <w:r>
              <w:rPr>
                <w:b w:val="0"/>
                <w:sz w:val="19"/>
              </w:rPr>
              <w:t>% data accuracy</w:t>
            </w:r>
          </w:p>
        </w:tc>
        <w:tc>
          <w:tcPr>
            <w:tcW w:type="dxa" w:w="3025"/>
            <w:shd w:fill="FFFFFF" w:val="clear"/>
          </w:tcPr>
          <w:p>
            <w:r>
              <w:rPr>
                <w:b w:val="0"/>
                <w:sz w:val="19"/>
              </w:rPr>
              <w:t>Auto-calc from source status</w:t>
            </w:r>
          </w:p>
        </w:tc>
      </w:tr>
    </w:tbl>
    <w:p/>
    <w:p>
      <w:r>
        <w:br w:type="page"/>
      </w:r>
    </w:p>
    <w:p>
      <w:pPr>
        <w:spacing w:before="360" w:after="120"/>
      </w:pPr>
      <w:r>
        <w:rPr>
          <w:b/>
          <w:color w:val="1F4E79"/>
          <w:sz w:val="28"/>
        </w:rPr>
        <w:t>Section 6: Implementation Roadmap</w:t>
      </w:r>
    </w:p>
    <w:p>
      <w:pPr>
        <w:spacing w:before="280" w:after="80"/>
      </w:pPr>
      <w:r>
        <w:rPr>
          <w:b/>
          <w:color w:val="2E74B5"/>
          <w:sz w:val="24"/>
        </w:rPr>
        <w:t>2-Week Sprint</w:t>
      </w:r>
    </w:p>
    <w:p>
      <w:pPr>
        <w:spacing w:before="280" w:after="80"/>
      </w:pPr>
      <w:r>
        <w:rPr>
          <w:b/>
          <w:color w:val="2E74B5"/>
          <w:sz w:val="24"/>
        </w:rPr>
        <w:t>WEEK 1 — Data Foundation</w:t>
      </w:r>
    </w:p>
    <w:p>
      <w:pPr>
        <w:spacing w:after="40"/>
        <w:ind w:left="283"/>
      </w:pPr>
      <w:r>
        <w:rPr>
          <w:sz w:val="21"/>
        </w:rPr>
        <w:t xml:space="preserve">  • Day 1-2: Define CP1, CP2, unit metric formulas (single owner)</w:t>
      </w:r>
    </w:p>
    <w:p>
      <w:pPr>
        <w:spacing w:after="40"/>
        <w:ind w:left="283"/>
      </w:pPr>
      <w:r>
        <w:rPr>
          <w:sz w:val="21"/>
        </w:rPr>
        <w:t xml:space="preserve">  • Day 3: Build data extraction from payment system / Supply Chain</w:t>
      </w:r>
    </w:p>
    <w:p>
      <w:pPr>
        <w:spacing w:after="40"/>
        <w:ind w:left="283"/>
      </w:pPr>
      <w:r>
        <w:rPr>
          <w:sz w:val="21"/>
        </w:rPr>
        <w:t xml:space="preserve">  • Day 4-5: Populate first version of 1-page template with real numbers</w:t>
      </w:r>
    </w:p>
    <w:p>
      <w:pPr>
        <w:spacing w:after="40"/>
        <w:ind w:left="283"/>
      </w:pPr>
      <w:r>
        <w:rPr>
          <w:sz w:val="21"/>
        </w:rPr>
        <w:t xml:space="preserve">  • Day 5: Review with finance team — validate accuracy</w:t>
      </w:r>
    </w:p>
    <w:p>
      <w:pPr>
        <w:spacing w:before="280" w:after="80"/>
      </w:pPr>
      <w:r>
        <w:rPr>
          <w:b/>
          <w:color w:val="2E74B5"/>
          <w:sz w:val="24"/>
        </w:rPr>
        <w:t>WEEK 2 — Process &amp; Automation</w:t>
      </w:r>
    </w:p>
    <w:p>
      <w:pPr>
        <w:spacing w:after="40"/>
        <w:ind w:left="283"/>
      </w:pPr>
      <w:r>
        <w:rPr>
          <w:sz w:val="21"/>
        </w:rPr>
        <w:t xml:space="preserve">  • Day 1-2: Build automated report generation (spreadsheet to PDF)</w:t>
      </w:r>
    </w:p>
    <w:p>
      <w:pPr>
        <w:spacing w:after="40"/>
        <w:ind w:left="283"/>
      </w:pPr>
      <w:r>
        <w:rPr>
          <w:sz w:val="21"/>
        </w:rPr>
        <w:t xml:space="preserve">  • Day 3: Traffic-light logic: On target / +/-10% / Beyond</w:t>
      </w:r>
    </w:p>
    <w:p>
      <w:pPr>
        <w:spacing w:after="40"/>
        <w:ind w:left="283"/>
      </w:pPr>
      <w:r>
        <w:rPr>
          <w:sz w:val="21"/>
        </w:rPr>
        <w:t xml:space="preserve">  • Day 4: Confidence indicator: flag unreliable sources</w:t>
      </w:r>
    </w:p>
    <w:p>
      <w:pPr>
        <w:spacing w:after="40"/>
        <w:ind w:left="283"/>
      </w:pPr>
      <w:r>
        <w:rPr>
          <w:sz w:val="21"/>
        </w:rPr>
        <w:t xml:space="preserve">  • Day 5: Train team on new format; kill old report</w:t>
      </w:r>
    </w:p>
    <w:p>
      <w:pPr>
        <w:spacing w:after="40"/>
        <w:ind w:left="283"/>
      </w:pPr>
      <w:r>
        <w:rPr>
          <w:sz w:val="21"/>
        </w:rPr>
        <w:t xml:space="preserve">  • Day 7: First production run</w:t>
      </w:r>
    </w:p>
    <w:p>
      <w:pPr>
        <w:spacing w:after="40"/>
        <w:ind w:left="283"/>
      </w:pPr>
      <w:r>
        <w:rPr>
          <w:b/>
          <w:color w:val="C05000"/>
          <w:sz w:val="21"/>
        </w:rPr>
        <w:t>🟠 HIGH: 3 things to do THIS WEEK</w:t>
      </w:r>
    </w:p>
    <w:p>
      <w:pPr>
        <w:spacing w:after="40"/>
        <w:ind w:left="283"/>
      </w:pPr>
      <w:r>
        <w:rPr>
          <w:sz w:val="21"/>
        </w:rPr>
        <w:t xml:space="preserve">  • Assign a single Report Owner (one person accountable for compilation)</w:t>
      </w:r>
    </w:p>
    <w:p>
      <w:pPr>
        <w:spacing w:after="40"/>
        <w:ind w:left="283"/>
      </w:pPr>
      <w:r>
        <w:rPr>
          <w:sz w:val="21"/>
        </w:rPr>
        <w:t xml:space="preserve">  • Define CP1 and CP2 formulas and their data sources — write them down</w:t>
      </w:r>
    </w:p>
    <w:p>
      <w:pPr>
        <w:spacing w:after="40"/>
        <w:ind w:left="283"/>
      </w:pPr>
      <w:r>
        <w:rPr>
          <w:sz w:val="21"/>
        </w:rPr>
        <w:t xml:space="preserve">  • Populate new 1-page template with at least Revenue, Cash, Grant numbers for Week 14</w:t>
      </w:r>
    </w:p>
    <w:p>
      <w:r>
        <w:br w:type="page"/>
      </w:r>
    </w:p>
    <w:p>
      <w:pPr>
        <w:spacing w:before="360" w:after="120"/>
      </w:pPr>
      <w:r>
        <w:rPr>
          <w:b/>
          <w:color w:val="1F4E79"/>
          <w:sz w:val="28"/>
        </w:rPr>
        <w:t>Appendix: Complete Proposed Report Template</w:t>
      </w:r>
    </w:p>
    <w:p>
      <w:pPr>
        <w:spacing w:after="60" w:line="276" w:lineRule="auto"/>
      </w:pPr>
      <w:r>
        <w:rPr>
          <w:b/>
          <w:i w:val="0"/>
          <w:sz w:val="21"/>
        </w:rPr>
        <w:t>Use this exact template for every weekly Finance KPI report going forward.</w:t>
      </w:r>
    </w:p>
    <w:p/>
    <w:p>
      <w:pPr>
        <w:spacing w:after="60" w:line="276" w:lineRule="auto"/>
      </w:pPr>
      <w:r>
        <w:rPr>
          <w:b/>
          <w:i w:val="0"/>
          <w:sz w:val="21"/>
        </w:rPr>
        <w:t>CHIPCHIP FINANCE KPI REPORT — Week [XX], 2026</w:t>
      </w:r>
    </w:p>
    <w:p>
      <w:pPr>
        <w:spacing w:after="60" w:line="276" w:lineRule="auto"/>
      </w:pPr>
      <w:r>
        <w:rPr>
          <w:b w:val="0"/>
          <w:i w:val="0"/>
          <w:sz w:val="21"/>
        </w:rPr>
        <w:t>[Date Range] | Prepared: [Name] | Distribution: Finance Team &amp; Leadership</w:t>
      </w:r>
    </w:p>
    <w:p>
      <w:pPr>
        <w:spacing w:after="60" w:line="276" w:lineRule="auto"/>
      </w:pPr>
      <w:r>
        <w:rPr>
          <w:b w:val="0"/>
          <w:i w:val="0"/>
          <w:sz w:val="21"/>
        </w:rPr>
        <w:t>Data Confidence: [95%] | Prev Week Actions: 2/3 Done | Overdue: 1</w:t>
      </w:r>
    </w:p>
    <w:p/>
    <w:p>
      <w:pPr>
        <w:spacing w:before="280" w:after="80"/>
      </w:pPr>
      <w:r>
        <w:rPr>
          <w:b/>
          <w:color w:val="2E74B5"/>
          <w:sz w:val="24"/>
        </w:rPr>
        <w:t>1. Revenue &amp; Margins</w:t>
      </w:r>
    </w:p>
    <w:tbl>
      <w:tblPr>
        <w:tblW w:type="auto" w:w="0"/>
        <w:jc w:val="left"/>
        <w:tblLook w:firstColumn="1" w:firstRow="1" w:lastColumn="0" w:lastRow="0" w:noHBand="0" w:noVBand="1" w:val="04A0"/>
      </w:tblPr>
      <w:tblGrid>
        <w:gridCol w:w="1815"/>
        <w:gridCol w:w="1815"/>
        <w:gridCol w:w="1815"/>
        <w:gridCol w:w="1815"/>
        <w:gridCol w:w="1815"/>
      </w:tblGrid>
      <w:tr>
        <w:tc>
          <w:tcPr>
            <w:tcW w:type="dxa" w:w="1815"/>
            <w:shd w:fill="1F4E79" w:val="clear"/>
          </w:tcPr>
          <w:p>
            <w:r>
              <w:rPr>
                <w:b/>
                <w:color w:val="FFFFFF"/>
                <w:sz w:val="19"/>
              </w:rPr>
              <w:t>Metric</w:t>
            </w:r>
          </w:p>
        </w:tc>
        <w:tc>
          <w:tcPr>
            <w:tcW w:type="dxa" w:w="1815"/>
            <w:shd w:fill="1F4E79" w:val="clear"/>
          </w:tcPr>
          <w:p>
            <w:r>
              <w:rPr>
                <w:b/>
                <w:color w:val="FFFFFF"/>
                <w:sz w:val="19"/>
              </w:rPr>
              <w:t>This Week</w:t>
            </w:r>
          </w:p>
        </w:tc>
        <w:tc>
          <w:tcPr>
            <w:tcW w:type="dxa" w:w="1815"/>
            <w:shd w:fill="1F4E79" w:val="clear"/>
          </w:tcPr>
          <w:p>
            <w:r>
              <w:rPr>
                <w:b/>
                <w:color w:val="FFFFFF"/>
                <w:sz w:val="19"/>
              </w:rPr>
              <w:t>Target</w:t>
            </w:r>
          </w:p>
        </w:tc>
        <w:tc>
          <w:tcPr>
            <w:tcW w:type="dxa" w:w="1815"/>
            <w:shd w:fill="1F4E79" w:val="clear"/>
          </w:tcPr>
          <w:p>
            <w:r>
              <w:rPr>
                <w:b/>
                <w:color w:val="FFFFFF"/>
                <w:sz w:val="19"/>
              </w:rPr>
              <w:t>Variance</w:t>
            </w:r>
          </w:p>
        </w:tc>
        <w:tc>
          <w:tcPr>
            <w:tcW w:type="dxa" w:w="1815"/>
            <w:shd w:fill="1F4E79" w:val="clear"/>
          </w:tcPr>
          <w:p>
            <w:r>
              <w:rPr>
                <w:b/>
                <w:color w:val="FFFFFF"/>
                <w:sz w:val="19"/>
              </w:rPr>
              <w:t>Status</w:t>
            </w:r>
          </w:p>
        </w:tc>
      </w:tr>
      <w:tr>
        <w:tc>
          <w:tcPr>
            <w:tcW w:type="dxa" w:w="1815"/>
            <w:shd w:fill="FFFFFF" w:val="clear"/>
          </w:tcPr>
          <w:p>
            <w:r>
              <w:rPr>
                <w:b w:val="0"/>
                <w:sz w:val="19"/>
              </w:rPr>
              <w:t>Total Revenue</w:t>
            </w:r>
          </w:p>
        </w:tc>
        <w:tc>
          <w:tcPr>
            <w:tcW w:type="dxa" w:w="1815"/>
            <w:shd w:fill="FFFFFF" w:val="clear"/>
          </w:tcPr>
          <w:p>
            <w:r>
              <w:rPr>
                <w:b w:val="0"/>
                <w:sz w:val="19"/>
              </w:rPr>
              <w:t>[___] Birr</w:t>
            </w:r>
          </w:p>
        </w:tc>
        <w:tc>
          <w:tcPr>
            <w:tcW w:type="dxa" w:w="1815"/>
            <w:shd w:fill="FFFFFF" w:val="clear"/>
          </w:tcPr>
          <w:p>
            <w:r>
              <w:rPr>
                <w:b w:val="0"/>
                <w:sz w:val="19"/>
              </w:rPr>
              <w:t>[___] Birr</w:t>
            </w:r>
          </w:p>
        </w:tc>
        <w:tc>
          <w:tcPr>
            <w:tcW w:type="dxa" w:w="1815"/>
            <w:shd w:fill="FFFFFF" w:val="clear"/>
          </w:tcPr>
          <w:p>
            <w:r>
              <w:rPr>
                <w:b w:val="0"/>
                <w:sz w:val="19"/>
              </w:rPr>
              <w:t>[___]</w:t>
            </w:r>
          </w:p>
        </w:tc>
        <w:tc>
          <w:tcPr>
            <w:tcW w:type="dxa" w:w="1815"/>
            <w:shd w:fill="FFFFFF" w:val="clear"/>
          </w:tcPr>
          <w:p>
            <w:r>
              <w:rPr>
                <w:b w:val="0"/>
                <w:sz w:val="19"/>
              </w:rPr>
              <w:t>[ ]</w:t>
            </w:r>
          </w:p>
        </w:tc>
      </w:tr>
      <w:tr>
        <w:tc>
          <w:tcPr>
            <w:tcW w:type="dxa" w:w="1815"/>
            <w:shd w:fill="F2F2F2" w:val="clear"/>
          </w:tcPr>
          <w:p>
            <w:r>
              <w:rPr>
                <w:b w:val="0"/>
                <w:sz w:val="19"/>
              </w:rPr>
              <w:t>B2B Revenue</w:t>
            </w:r>
          </w:p>
        </w:tc>
        <w:tc>
          <w:tcPr>
            <w:tcW w:type="dxa" w:w="1815"/>
            <w:shd w:fill="F2F2F2" w:val="clear"/>
          </w:tcPr>
          <w:p>
            <w:r>
              <w:rPr>
                <w:b w:val="0"/>
                <w:sz w:val="19"/>
              </w:rPr>
              <w:t>[___] Birr</w:t>
            </w:r>
          </w:p>
        </w:tc>
        <w:tc>
          <w:tcPr>
            <w:tcW w:type="dxa" w:w="1815"/>
            <w:shd w:fill="F2F2F2" w:val="clear"/>
          </w:tcPr>
          <w:p>
            <w:r>
              <w:rPr>
                <w:b w:val="0"/>
                <w:sz w:val="19"/>
              </w:rPr>
              <w:t>[___] Birr</w:t>
            </w:r>
          </w:p>
        </w:tc>
        <w:tc>
          <w:tcPr>
            <w:tcW w:type="dxa" w:w="1815"/>
            <w:shd w:fill="F2F2F2" w:val="clear"/>
          </w:tcPr>
          <w:p>
            <w:r>
              <w:rPr>
                <w:b w:val="0"/>
                <w:sz w:val="19"/>
              </w:rPr>
              <w:t>[___]</w:t>
            </w:r>
          </w:p>
        </w:tc>
        <w:tc>
          <w:tcPr>
            <w:tcW w:type="dxa" w:w="1815"/>
            <w:shd w:fill="F2F2F2" w:val="clear"/>
          </w:tcPr>
          <w:p>
            <w:r>
              <w:rPr>
                <w:b w:val="0"/>
                <w:sz w:val="19"/>
              </w:rPr>
              <w:t>[ ]</w:t>
            </w:r>
          </w:p>
        </w:tc>
      </w:tr>
      <w:tr>
        <w:tc>
          <w:tcPr>
            <w:tcW w:type="dxa" w:w="1815"/>
            <w:shd w:fill="FFFFFF" w:val="clear"/>
          </w:tcPr>
          <w:p>
            <w:r>
              <w:rPr>
                <w:b w:val="0"/>
                <w:sz w:val="19"/>
              </w:rPr>
              <w:t>B2C Revenue</w:t>
            </w:r>
          </w:p>
        </w:tc>
        <w:tc>
          <w:tcPr>
            <w:tcW w:type="dxa" w:w="1815"/>
            <w:shd w:fill="FFFFFF" w:val="clear"/>
          </w:tcPr>
          <w:p>
            <w:r>
              <w:rPr>
                <w:b w:val="0"/>
                <w:sz w:val="19"/>
              </w:rPr>
              <w:t>[___] Birr</w:t>
            </w:r>
          </w:p>
        </w:tc>
        <w:tc>
          <w:tcPr>
            <w:tcW w:type="dxa" w:w="1815"/>
            <w:shd w:fill="FFFFFF" w:val="clear"/>
          </w:tcPr>
          <w:p>
            <w:r>
              <w:rPr>
                <w:b w:val="0"/>
                <w:sz w:val="19"/>
              </w:rPr>
              <w:t>[___] Birr</w:t>
            </w:r>
          </w:p>
        </w:tc>
        <w:tc>
          <w:tcPr>
            <w:tcW w:type="dxa" w:w="1815"/>
            <w:shd w:fill="FFFFFF" w:val="clear"/>
          </w:tcPr>
          <w:p>
            <w:r>
              <w:rPr>
                <w:b w:val="0"/>
                <w:sz w:val="19"/>
              </w:rPr>
              <w:t>[___]</w:t>
            </w:r>
          </w:p>
        </w:tc>
        <w:tc>
          <w:tcPr>
            <w:tcW w:type="dxa" w:w="1815"/>
            <w:shd w:fill="FFFFFF" w:val="clear"/>
          </w:tcPr>
          <w:p>
            <w:r>
              <w:rPr>
                <w:b w:val="0"/>
                <w:sz w:val="19"/>
              </w:rPr>
              <w:t>[ ]</w:t>
            </w:r>
          </w:p>
        </w:tc>
      </w:tr>
      <w:tr>
        <w:tc>
          <w:tcPr>
            <w:tcW w:type="dxa" w:w="1815"/>
            <w:shd w:fill="F2F2F2" w:val="clear"/>
          </w:tcPr>
          <w:p>
            <w:r>
              <w:rPr>
                <w:b w:val="0"/>
                <w:sz w:val="19"/>
              </w:rPr>
              <w:t>CP1 (Gross Margin)</w:t>
            </w:r>
          </w:p>
        </w:tc>
        <w:tc>
          <w:tcPr>
            <w:tcW w:type="dxa" w:w="1815"/>
            <w:shd w:fill="F2F2F2" w:val="clear"/>
          </w:tcPr>
          <w:p>
            <w:r>
              <w:rPr>
                <w:b w:val="0"/>
                <w:sz w:val="19"/>
              </w:rPr>
              <w:t>[___]%</w:t>
            </w:r>
          </w:p>
        </w:tc>
        <w:tc>
          <w:tcPr>
            <w:tcW w:type="dxa" w:w="1815"/>
            <w:shd w:fill="F2F2F2" w:val="clear"/>
          </w:tcPr>
          <w:p>
            <w:r>
              <w:rPr>
                <w:b w:val="0"/>
                <w:sz w:val="19"/>
              </w:rPr>
              <w:t>[___]%</w:t>
            </w:r>
          </w:p>
        </w:tc>
        <w:tc>
          <w:tcPr>
            <w:tcW w:type="dxa" w:w="1815"/>
            <w:shd w:fill="F2F2F2" w:val="clear"/>
          </w:tcPr>
          <w:p>
            <w:r>
              <w:rPr>
                <w:b w:val="0"/>
                <w:sz w:val="19"/>
              </w:rPr>
              <w:t>[___] pp</w:t>
            </w:r>
          </w:p>
        </w:tc>
        <w:tc>
          <w:tcPr>
            <w:tcW w:type="dxa" w:w="1815"/>
            <w:shd w:fill="F2F2F2" w:val="clear"/>
          </w:tcPr>
          <w:p>
            <w:r>
              <w:rPr>
                <w:b w:val="0"/>
                <w:sz w:val="19"/>
              </w:rPr>
              <w:t>[ ]</w:t>
            </w:r>
          </w:p>
        </w:tc>
      </w:tr>
      <w:tr>
        <w:tc>
          <w:tcPr>
            <w:tcW w:type="dxa" w:w="1815"/>
            <w:shd w:fill="FFFFFF" w:val="clear"/>
          </w:tcPr>
          <w:p>
            <w:r>
              <w:rPr>
                <w:b w:val="0"/>
                <w:sz w:val="19"/>
              </w:rPr>
              <w:t>CP2 (Net Margin)</w:t>
            </w:r>
          </w:p>
        </w:tc>
        <w:tc>
          <w:tcPr>
            <w:tcW w:type="dxa" w:w="1815"/>
            <w:shd w:fill="FFFFFF" w:val="clear"/>
          </w:tcPr>
          <w:p>
            <w:r>
              <w:rPr>
                <w:b w:val="0"/>
                <w:sz w:val="19"/>
              </w:rPr>
              <w:t>[___]%</w:t>
            </w:r>
          </w:p>
        </w:tc>
        <w:tc>
          <w:tcPr>
            <w:tcW w:type="dxa" w:w="1815"/>
            <w:shd w:fill="FFFFFF" w:val="clear"/>
          </w:tcPr>
          <w:p>
            <w:r>
              <w:rPr>
                <w:b w:val="0"/>
                <w:sz w:val="19"/>
              </w:rPr>
              <w:t>[___]%</w:t>
            </w:r>
          </w:p>
        </w:tc>
        <w:tc>
          <w:tcPr>
            <w:tcW w:type="dxa" w:w="1815"/>
            <w:shd w:fill="FFFFFF" w:val="clear"/>
          </w:tcPr>
          <w:p>
            <w:r>
              <w:rPr>
                <w:b w:val="0"/>
                <w:sz w:val="19"/>
              </w:rPr>
              <w:t>[___] pp</w:t>
            </w:r>
          </w:p>
        </w:tc>
        <w:tc>
          <w:tcPr>
            <w:tcW w:type="dxa" w:w="1815"/>
            <w:shd w:fill="FFFFFF" w:val="clear"/>
          </w:tcPr>
          <w:p>
            <w:r>
              <w:rPr>
                <w:b w:val="0"/>
                <w:sz w:val="19"/>
              </w:rPr>
              <w:t>[ ]</w:t>
            </w:r>
          </w:p>
        </w:tc>
      </w:tr>
    </w:tbl>
    <w:p/>
    <w:p>
      <w:pPr>
        <w:spacing w:before="280" w:after="80"/>
      </w:pPr>
      <w:r>
        <w:rPr>
          <w:b/>
          <w:color w:val="2E74B5"/>
          <w:sz w:val="24"/>
        </w:rPr>
        <w:t>2. Cash &amp; Operating Costs</w:t>
      </w:r>
    </w:p>
    <w:tbl>
      <w:tblPr>
        <w:tblW w:type="auto" w:w="0"/>
        <w:jc w:val="left"/>
        <w:tblLook w:firstColumn="1" w:firstRow="1" w:lastColumn="0" w:lastRow="0" w:noHBand="0" w:noVBand="1" w:val="04A0"/>
      </w:tblPr>
      <w:tblGrid>
        <w:gridCol w:w="2269"/>
        <w:gridCol w:w="2269"/>
        <w:gridCol w:w="2269"/>
        <w:gridCol w:w="2269"/>
      </w:tblGrid>
      <w:tr>
        <w:tc>
          <w:tcPr>
            <w:tcW w:type="dxa" w:w="2269"/>
            <w:shd w:fill="1F4E79" w:val="clear"/>
          </w:tcPr>
          <w:p>
            <w:r>
              <w:rPr>
                <w:b/>
                <w:color w:val="FFFFFF"/>
                <w:sz w:val="19"/>
              </w:rPr>
              <w:t>Metric</w:t>
            </w:r>
          </w:p>
        </w:tc>
        <w:tc>
          <w:tcPr>
            <w:tcW w:type="dxa" w:w="2269"/>
            <w:shd w:fill="1F4E79" w:val="clear"/>
          </w:tcPr>
          <w:p>
            <w:r>
              <w:rPr>
                <w:b/>
                <w:color w:val="FFFFFF"/>
                <w:sz w:val="19"/>
              </w:rPr>
              <w:t>Value</w:t>
            </w:r>
          </w:p>
        </w:tc>
        <w:tc>
          <w:tcPr>
            <w:tcW w:type="dxa" w:w="2269"/>
            <w:shd w:fill="1F4E79" w:val="clear"/>
          </w:tcPr>
          <w:p>
            <w:r>
              <w:rPr>
                <w:b/>
                <w:color w:val="FFFFFF"/>
                <w:sz w:val="19"/>
              </w:rPr>
              <w:t>Notes</w:t>
            </w:r>
          </w:p>
        </w:tc>
        <w:tc>
          <w:tcPr>
            <w:tcW w:type="dxa" w:w="2269"/>
            <w:shd w:fill="1F4E79" w:val="clear"/>
          </w:tcPr>
          <w:p>
            <w:r>
              <w:rPr>
                <w:b/>
                <w:color w:val="FFFFFF"/>
                <w:sz w:val="19"/>
              </w:rPr>
              <w:t>Status</w:t>
            </w:r>
          </w:p>
        </w:tc>
      </w:tr>
      <w:tr>
        <w:tc>
          <w:tcPr>
            <w:tcW w:type="dxa" w:w="2269"/>
            <w:shd w:fill="FFFFFF" w:val="clear"/>
          </w:tcPr>
          <w:p>
            <w:r>
              <w:rPr>
                <w:b w:val="0"/>
                <w:sz w:val="19"/>
              </w:rPr>
              <w:t>Cash Position</w:t>
            </w:r>
          </w:p>
        </w:tc>
        <w:tc>
          <w:tcPr>
            <w:tcW w:type="dxa" w:w="2269"/>
            <w:shd w:fill="FFFFFF" w:val="clear"/>
          </w:tcPr>
          <w:p>
            <w:r>
              <w:rPr>
                <w:b w:val="0"/>
                <w:sz w:val="19"/>
              </w:rPr>
              <w:t>[___] Birr</w:t>
            </w:r>
          </w:p>
        </w:tc>
        <w:tc>
          <w:tcPr>
            <w:tcW w:type="dxa" w:w="2269"/>
            <w:shd w:fill="FFFFFF" w:val="clear"/>
          </w:tcPr>
          <w:p>
            <w:r>
              <w:rPr>
                <w:b w:val="0"/>
                <w:sz w:val="19"/>
              </w:rPr>
              <w:t>As of End of Week</w:t>
            </w:r>
          </w:p>
        </w:tc>
        <w:tc>
          <w:tcPr>
            <w:tcW w:type="dxa" w:w="2269"/>
            <w:shd w:fill="FFFFFF" w:val="clear"/>
          </w:tcPr>
          <w:p>
            <w:r>
              <w:rPr>
                <w:b w:val="0"/>
                <w:sz w:val="19"/>
              </w:rPr>
              <w:t>[ ]</w:t>
            </w:r>
          </w:p>
        </w:tc>
      </w:tr>
      <w:tr>
        <w:tc>
          <w:tcPr>
            <w:tcW w:type="dxa" w:w="2269"/>
            <w:shd w:fill="F2F2F2" w:val="clear"/>
          </w:tcPr>
          <w:p>
            <w:r>
              <w:rPr>
                <w:b w:val="0"/>
                <w:sz w:val="19"/>
              </w:rPr>
              <w:t>Weekly Burn Rate</w:t>
            </w:r>
          </w:p>
        </w:tc>
        <w:tc>
          <w:tcPr>
            <w:tcW w:type="dxa" w:w="2269"/>
            <w:shd w:fill="F2F2F2" w:val="clear"/>
          </w:tcPr>
          <w:p>
            <w:r>
              <w:rPr>
                <w:b w:val="0"/>
                <w:sz w:val="19"/>
              </w:rPr>
              <w:t>[___] Birr</w:t>
            </w:r>
          </w:p>
        </w:tc>
        <w:tc>
          <w:tcPr>
            <w:tcW w:type="dxa" w:w="2269"/>
            <w:shd w:fill="F2F2F2" w:val="clear"/>
          </w:tcPr>
          <w:p>
            <w:r>
              <w:rPr>
                <w:b w:val="0"/>
                <w:sz w:val="19"/>
              </w:rPr>
              <w:t>OpEx only</w:t>
            </w:r>
          </w:p>
        </w:tc>
        <w:tc>
          <w:tcPr>
            <w:tcW w:type="dxa" w:w="2269"/>
            <w:shd w:fill="F2F2F2" w:val="clear"/>
          </w:tcPr>
          <w:p>
            <w:r>
              <w:rPr>
                <w:b w:val="0"/>
                <w:sz w:val="19"/>
              </w:rPr>
              <w:t>[ ]</w:t>
            </w:r>
          </w:p>
        </w:tc>
      </w:tr>
      <w:tr>
        <w:tc>
          <w:tcPr>
            <w:tcW w:type="dxa" w:w="2269"/>
            <w:shd w:fill="FFFFFF" w:val="clear"/>
          </w:tcPr>
          <w:p>
            <w:r>
              <w:rPr>
                <w:b w:val="0"/>
                <w:sz w:val="19"/>
              </w:rPr>
              <w:t>Top Cost Variance</w:t>
            </w:r>
          </w:p>
        </w:tc>
        <w:tc>
          <w:tcPr>
            <w:tcW w:type="dxa" w:w="2269"/>
            <w:shd w:fill="FFFFFF" w:val="clear"/>
          </w:tcPr>
          <w:p>
            <w:r>
              <w:rPr>
                <w:b w:val="0"/>
                <w:sz w:val="19"/>
              </w:rPr>
              <w:t>[___] Birr</w:t>
            </w:r>
          </w:p>
        </w:tc>
        <w:tc>
          <w:tcPr>
            <w:tcW w:type="dxa" w:w="2269"/>
            <w:shd w:fill="FFFFFF" w:val="clear"/>
          </w:tcPr>
          <w:p>
            <w:r>
              <w:rPr>
                <w:b w:val="0"/>
                <w:sz w:val="19"/>
              </w:rPr>
              <w:t>[Item name]</w:t>
            </w:r>
          </w:p>
        </w:tc>
        <w:tc>
          <w:tcPr>
            <w:tcW w:type="dxa" w:w="2269"/>
            <w:shd w:fill="FFFFFF" w:val="clear"/>
          </w:tcPr>
          <w:p>
            <w:r>
              <w:rPr>
                <w:b w:val="0"/>
                <w:sz w:val="19"/>
              </w:rPr>
              <w:t>[ ]</w:t>
            </w:r>
          </w:p>
        </w:tc>
      </w:tr>
      <w:tr>
        <w:tc>
          <w:tcPr>
            <w:tcW w:type="dxa" w:w="2269"/>
            <w:shd w:fill="F2F2F2" w:val="clear"/>
          </w:tcPr>
          <w:p>
            <w:r>
              <w:rPr>
                <w:b w:val="0"/>
                <w:sz w:val="19"/>
              </w:rPr>
              <w:t>Warehouse Costs</w:t>
            </w:r>
          </w:p>
        </w:tc>
        <w:tc>
          <w:tcPr>
            <w:tcW w:type="dxa" w:w="2269"/>
            <w:shd w:fill="F2F2F2" w:val="clear"/>
          </w:tcPr>
          <w:p>
            <w:r>
              <w:rPr>
                <w:b w:val="0"/>
                <w:sz w:val="19"/>
              </w:rPr>
              <w:t>[___] Birr</w:t>
            </w:r>
          </w:p>
        </w:tc>
        <w:tc>
          <w:tcPr>
            <w:tcW w:type="dxa" w:w="2269"/>
            <w:shd w:fill="F2F2F2" w:val="clear"/>
          </w:tcPr>
          <w:p>
            <w:r>
              <w:rPr>
                <w:b w:val="0"/>
                <w:sz w:val="19"/>
              </w:rPr>
              <w:t>vs budget</w:t>
            </w:r>
          </w:p>
        </w:tc>
        <w:tc>
          <w:tcPr>
            <w:tcW w:type="dxa" w:w="2269"/>
            <w:shd w:fill="F2F2F2" w:val="clear"/>
          </w:tcPr>
          <w:p>
            <w:r>
              <w:rPr>
                <w:b w:val="0"/>
                <w:sz w:val="19"/>
              </w:rPr>
              <w:t>[ ]</w:t>
            </w:r>
          </w:p>
        </w:tc>
      </w:tr>
      <w:tr>
        <w:tc>
          <w:tcPr>
            <w:tcW w:type="dxa" w:w="2269"/>
            <w:shd w:fill="FFFFFF" w:val="clear"/>
          </w:tcPr>
          <w:p>
            <w:r>
              <w:rPr>
                <w:b w:val="0"/>
                <w:sz w:val="19"/>
              </w:rPr>
              <w:t>Delivery Costs</w:t>
            </w:r>
          </w:p>
        </w:tc>
        <w:tc>
          <w:tcPr>
            <w:tcW w:type="dxa" w:w="2269"/>
            <w:shd w:fill="FFFFFF" w:val="clear"/>
          </w:tcPr>
          <w:p>
            <w:r>
              <w:rPr>
                <w:b w:val="0"/>
                <w:sz w:val="19"/>
              </w:rPr>
              <w:t>[___] Birr</w:t>
            </w:r>
          </w:p>
        </w:tc>
        <w:tc>
          <w:tcPr>
            <w:tcW w:type="dxa" w:w="2269"/>
            <w:shd w:fill="FFFFFF" w:val="clear"/>
          </w:tcPr>
          <w:p>
            <w:r>
              <w:rPr>
                <w:b w:val="0"/>
                <w:sz w:val="19"/>
              </w:rPr>
              <w:t>Avg X Birr / order</w:t>
            </w:r>
          </w:p>
        </w:tc>
        <w:tc>
          <w:tcPr>
            <w:tcW w:type="dxa" w:w="2269"/>
            <w:shd w:fill="FFFFFF" w:val="clear"/>
          </w:tcPr>
          <w:p>
            <w:r>
              <w:rPr>
                <w:b w:val="0"/>
                <w:sz w:val="19"/>
              </w:rPr>
              <w:t>[ ]</w:t>
            </w:r>
          </w:p>
        </w:tc>
      </w:tr>
    </w:tbl>
    <w:p/>
    <w:p>
      <w:pPr>
        <w:spacing w:before="280" w:after="80"/>
      </w:pPr>
      <w:r>
        <w:rPr>
          <w:b/>
          <w:color w:val="2E74B5"/>
          <w:sz w:val="24"/>
        </w:rPr>
        <w:t>3. Unit Economics</w:t>
      </w:r>
    </w:p>
    <w:tbl>
      <w:tblPr>
        <w:tblW w:type="auto" w:w="0"/>
        <w:jc w:val="left"/>
        <w:tblLook w:firstColumn="1" w:firstRow="1" w:lastColumn="0" w:lastRow="0" w:noHBand="0" w:noVBand="1" w:val="04A0"/>
      </w:tblPr>
      <w:tblGrid>
        <w:gridCol w:w="2269"/>
        <w:gridCol w:w="2269"/>
        <w:gridCol w:w="2269"/>
        <w:gridCol w:w="2269"/>
      </w:tblGrid>
      <w:tr>
        <w:tc>
          <w:tcPr>
            <w:tcW w:type="dxa" w:w="2269"/>
            <w:shd w:fill="1F4E79" w:val="clear"/>
          </w:tcPr>
          <w:p>
            <w:r>
              <w:rPr>
                <w:b/>
                <w:color w:val="FFFFFF"/>
                <w:sz w:val="19"/>
              </w:rPr>
              <w:t>Metric</w:t>
            </w:r>
          </w:p>
        </w:tc>
        <w:tc>
          <w:tcPr>
            <w:tcW w:type="dxa" w:w="2269"/>
            <w:shd w:fill="1F4E79" w:val="clear"/>
          </w:tcPr>
          <w:p>
            <w:r>
              <w:rPr>
                <w:b/>
                <w:color w:val="FFFFFF"/>
                <w:sz w:val="19"/>
              </w:rPr>
              <w:t>Value</w:t>
            </w:r>
          </w:p>
        </w:tc>
        <w:tc>
          <w:tcPr>
            <w:tcW w:type="dxa" w:w="2269"/>
            <w:shd w:fill="1F4E79" w:val="clear"/>
          </w:tcPr>
          <w:p>
            <w:r>
              <w:rPr>
                <w:b/>
                <w:color w:val="FFFFFF"/>
                <w:sz w:val="19"/>
              </w:rPr>
              <w:t>Target</w:t>
            </w:r>
          </w:p>
        </w:tc>
        <w:tc>
          <w:tcPr>
            <w:tcW w:type="dxa" w:w="2269"/>
            <w:shd w:fill="1F4E79" w:val="clear"/>
          </w:tcPr>
          <w:p>
            <w:r>
              <w:rPr>
                <w:b/>
                <w:color w:val="FFFFFF"/>
                <w:sz w:val="19"/>
              </w:rPr>
              <w:t>Status</w:t>
            </w:r>
          </w:p>
        </w:tc>
      </w:tr>
      <w:tr>
        <w:tc>
          <w:tcPr>
            <w:tcW w:type="dxa" w:w="2269"/>
            <w:shd w:fill="FFFFFF" w:val="clear"/>
          </w:tcPr>
          <w:p>
            <w:r>
              <w:rPr>
                <w:b w:val="0"/>
                <w:sz w:val="19"/>
              </w:rPr>
              <w:t>Avg Order Value</w:t>
            </w:r>
          </w:p>
        </w:tc>
        <w:tc>
          <w:tcPr>
            <w:tcW w:type="dxa" w:w="2269"/>
            <w:shd w:fill="FFFFFF" w:val="clear"/>
          </w:tcPr>
          <w:p>
            <w:r>
              <w:rPr>
                <w:b w:val="0"/>
                <w:sz w:val="19"/>
              </w:rPr>
              <w:t>[___] Birr</w:t>
            </w:r>
          </w:p>
        </w:tc>
        <w:tc>
          <w:tcPr>
            <w:tcW w:type="dxa" w:w="2269"/>
            <w:shd w:fill="FFFFFF" w:val="clear"/>
          </w:tcPr>
          <w:p>
            <w:r>
              <w:rPr>
                <w:b w:val="0"/>
                <w:sz w:val="19"/>
              </w:rPr>
              <w:t>[___] Birr</w:t>
            </w:r>
          </w:p>
        </w:tc>
        <w:tc>
          <w:tcPr>
            <w:tcW w:type="dxa" w:w="2269"/>
            <w:shd w:fill="FFFFFF" w:val="clear"/>
          </w:tcPr>
          <w:p>
            <w:r>
              <w:rPr>
                <w:b w:val="0"/>
                <w:sz w:val="19"/>
              </w:rPr>
              <w:t>[ ]</w:t>
            </w:r>
          </w:p>
        </w:tc>
      </w:tr>
      <w:tr>
        <w:tc>
          <w:tcPr>
            <w:tcW w:type="dxa" w:w="2269"/>
            <w:shd w:fill="F2F2F2" w:val="clear"/>
          </w:tcPr>
          <w:p>
            <w:r>
              <w:rPr>
                <w:b w:val="0"/>
                <w:sz w:val="19"/>
              </w:rPr>
              <w:t>Delivery Cost / Order</w:t>
            </w:r>
          </w:p>
        </w:tc>
        <w:tc>
          <w:tcPr>
            <w:tcW w:type="dxa" w:w="2269"/>
            <w:shd w:fill="F2F2F2" w:val="clear"/>
          </w:tcPr>
          <w:p>
            <w:r>
              <w:rPr>
                <w:b w:val="0"/>
                <w:sz w:val="19"/>
              </w:rPr>
              <w:t>[___] Birr</w:t>
            </w:r>
          </w:p>
        </w:tc>
        <w:tc>
          <w:tcPr>
            <w:tcW w:type="dxa" w:w="2269"/>
            <w:shd w:fill="F2F2F2" w:val="clear"/>
          </w:tcPr>
          <w:p>
            <w:r>
              <w:rPr>
                <w:b w:val="0"/>
                <w:sz w:val="19"/>
              </w:rPr>
              <w:t>3 Birr target</w:t>
            </w:r>
          </w:p>
        </w:tc>
        <w:tc>
          <w:tcPr>
            <w:tcW w:type="dxa" w:w="2269"/>
            <w:shd w:fill="F2F2F2" w:val="clear"/>
          </w:tcPr>
          <w:p>
            <w:r>
              <w:rPr>
                <w:b w:val="0"/>
                <w:sz w:val="19"/>
              </w:rPr>
              <w:t>[ ]</w:t>
            </w:r>
          </w:p>
        </w:tc>
      </w:tr>
      <w:tr>
        <w:tc>
          <w:tcPr>
            <w:tcW w:type="dxa" w:w="2269"/>
            <w:shd w:fill="FFFFFF" w:val="clear"/>
          </w:tcPr>
          <w:p>
            <w:r>
              <w:rPr>
                <w:b w:val="0"/>
                <w:sz w:val="19"/>
              </w:rPr>
              <w:t>Cost Per Acquisition</w:t>
            </w:r>
          </w:p>
        </w:tc>
        <w:tc>
          <w:tcPr>
            <w:tcW w:type="dxa" w:w="2269"/>
            <w:shd w:fill="FFFFFF" w:val="clear"/>
          </w:tcPr>
          <w:p>
            <w:r>
              <w:rPr>
                <w:b w:val="0"/>
                <w:sz w:val="19"/>
              </w:rPr>
              <w:t>[___] Birr</w:t>
            </w:r>
          </w:p>
        </w:tc>
        <w:tc>
          <w:tcPr>
            <w:tcW w:type="dxa" w:w="2269"/>
            <w:shd w:fill="FFFFFF" w:val="clear"/>
          </w:tcPr>
          <w:p>
            <w:r>
              <w:rPr>
                <w:b w:val="0"/>
                <w:sz w:val="19"/>
              </w:rPr>
              <w:t>[___] Birr</w:t>
            </w:r>
          </w:p>
        </w:tc>
        <w:tc>
          <w:tcPr>
            <w:tcW w:type="dxa" w:w="2269"/>
            <w:shd w:fill="FFFFFF" w:val="clear"/>
          </w:tcPr>
          <w:p>
            <w:r>
              <w:rPr>
                <w:b w:val="0"/>
                <w:sz w:val="19"/>
              </w:rPr>
              <w:t>[ ]</w:t>
            </w:r>
          </w:p>
        </w:tc>
      </w:tr>
      <w:tr>
        <w:tc>
          <w:tcPr>
            <w:tcW w:type="dxa" w:w="2269"/>
            <w:shd w:fill="F2F2F2" w:val="clear"/>
          </w:tcPr>
          <w:p>
            <w:r>
              <w:rPr>
                <w:b w:val="0"/>
                <w:sz w:val="19"/>
              </w:rPr>
              <w:t>Orders / Week</w:t>
            </w:r>
          </w:p>
        </w:tc>
        <w:tc>
          <w:tcPr>
            <w:tcW w:type="dxa" w:w="2269"/>
            <w:shd w:fill="F2F2F2" w:val="clear"/>
          </w:tcPr>
          <w:p>
            <w:r>
              <w:rPr>
                <w:b w:val="0"/>
                <w:sz w:val="19"/>
              </w:rPr>
              <w:t>[___]</w:t>
            </w:r>
          </w:p>
        </w:tc>
        <w:tc>
          <w:tcPr>
            <w:tcW w:type="dxa" w:w="2269"/>
            <w:shd w:fill="F2F2F2" w:val="clear"/>
          </w:tcPr>
          <w:p>
            <w:r>
              <w:rPr>
                <w:b w:val="0"/>
                <w:sz w:val="19"/>
              </w:rPr>
              <w:t>[___]</w:t>
            </w:r>
          </w:p>
        </w:tc>
        <w:tc>
          <w:tcPr>
            <w:tcW w:type="dxa" w:w="2269"/>
            <w:shd w:fill="F2F2F2" w:val="clear"/>
          </w:tcPr>
          <w:p>
            <w:r>
              <w:rPr>
                <w:b w:val="0"/>
                <w:sz w:val="19"/>
              </w:rPr>
              <w:t>[ ]</w:t>
            </w:r>
          </w:p>
        </w:tc>
      </w:tr>
    </w:tbl>
    <w:p/>
    <w:p>
      <w:pPr>
        <w:spacing w:before="280" w:after="80"/>
      </w:pPr>
      <w:r>
        <w:rPr>
          <w:b/>
          <w:color w:val="2E74B5"/>
          <w:sz w:val="24"/>
        </w:rPr>
        <w:t>4. Grants &amp; Funding (Owner: Bealu)</w:t>
      </w:r>
    </w:p>
    <w:tbl>
      <w:tblPr>
        <w:tblW w:type="auto" w:w="0"/>
        <w:jc w:val="left"/>
        <w:tblLook w:firstColumn="1" w:firstRow="1" w:lastColumn="0" w:lastRow="0" w:noHBand="0" w:noVBand="1" w:val="04A0"/>
      </w:tblPr>
      <w:tblGrid>
        <w:gridCol w:w="2269"/>
        <w:gridCol w:w="2269"/>
        <w:gridCol w:w="2269"/>
        <w:gridCol w:w="2269"/>
      </w:tblGrid>
      <w:tr>
        <w:tc>
          <w:tcPr>
            <w:tcW w:type="dxa" w:w="2269"/>
            <w:shd w:fill="1F4E79" w:val="clear"/>
          </w:tcPr>
          <w:p>
            <w:r>
              <w:rPr>
                <w:b/>
                <w:color w:val="FFFFFF"/>
                <w:sz w:val="19"/>
              </w:rPr>
              <w:t>Metric</w:t>
            </w:r>
          </w:p>
        </w:tc>
        <w:tc>
          <w:tcPr>
            <w:tcW w:type="dxa" w:w="2269"/>
            <w:shd w:fill="1F4E79" w:val="clear"/>
          </w:tcPr>
          <w:p>
            <w:r>
              <w:rPr>
                <w:b/>
                <w:color w:val="FFFFFF"/>
                <w:sz w:val="19"/>
              </w:rPr>
              <w:t>Value</w:t>
            </w:r>
          </w:p>
        </w:tc>
        <w:tc>
          <w:tcPr>
            <w:tcW w:type="dxa" w:w="2269"/>
            <w:shd w:fill="1F4E79" w:val="clear"/>
          </w:tcPr>
          <w:p>
            <w:r>
              <w:rPr>
                <w:b/>
                <w:color w:val="FFFFFF"/>
                <w:sz w:val="19"/>
              </w:rPr>
              <w:t>Notes</w:t>
            </w:r>
          </w:p>
        </w:tc>
        <w:tc>
          <w:tcPr>
            <w:tcW w:type="dxa" w:w="2269"/>
            <w:shd w:fill="1F4E79" w:val="clear"/>
          </w:tcPr>
          <w:p>
            <w:r>
              <w:rPr>
                <w:b/>
                <w:color w:val="FFFFFF"/>
                <w:sz w:val="19"/>
              </w:rPr>
              <w:t>Status</w:t>
            </w:r>
          </w:p>
        </w:tc>
      </w:tr>
      <w:tr>
        <w:tc>
          <w:tcPr>
            <w:tcW w:type="dxa" w:w="2269"/>
            <w:shd w:fill="FFFFFF" w:val="clear"/>
          </w:tcPr>
          <w:p>
            <w:r>
              <w:rPr>
                <w:b w:val="0"/>
                <w:sz w:val="19"/>
              </w:rPr>
              <w:t>Disbursed This Week</w:t>
            </w:r>
          </w:p>
        </w:tc>
        <w:tc>
          <w:tcPr>
            <w:tcW w:type="dxa" w:w="2269"/>
            <w:shd w:fill="FFFFFF" w:val="clear"/>
          </w:tcPr>
          <w:p>
            <w:r>
              <w:rPr>
                <w:b w:val="0"/>
                <w:sz w:val="19"/>
              </w:rPr>
              <w:t>[___] Birr</w:t>
            </w:r>
          </w:p>
        </w:tc>
        <w:tc>
          <w:tcPr>
            <w:tcW w:type="dxa" w:w="2269"/>
            <w:shd w:fill="FFFFFF" w:val="clear"/>
          </w:tcPr>
          <w:p>
            <w:r>
              <w:rPr>
                <w:b w:val="0"/>
                <w:sz w:val="19"/>
              </w:rPr>
              <w:t>[Grant name]</w:t>
            </w:r>
          </w:p>
        </w:tc>
        <w:tc>
          <w:tcPr>
            <w:tcW w:type="dxa" w:w="2269"/>
            <w:shd w:fill="FFFFFF" w:val="clear"/>
          </w:tcPr>
          <w:p>
            <w:r>
              <w:rPr>
                <w:b w:val="0"/>
                <w:sz w:val="19"/>
              </w:rPr>
              <w:t>[ ]</w:t>
            </w:r>
          </w:p>
        </w:tc>
      </w:tr>
      <w:tr>
        <w:tc>
          <w:tcPr>
            <w:tcW w:type="dxa" w:w="2269"/>
            <w:shd w:fill="F2F2F2" w:val="clear"/>
          </w:tcPr>
          <w:p>
            <w:r>
              <w:rPr>
                <w:b w:val="0"/>
                <w:sz w:val="19"/>
              </w:rPr>
              <w:t>Pipeline (Committed)</w:t>
            </w:r>
          </w:p>
        </w:tc>
        <w:tc>
          <w:tcPr>
            <w:tcW w:type="dxa" w:w="2269"/>
            <w:shd w:fill="F2F2F2" w:val="clear"/>
          </w:tcPr>
          <w:p>
            <w:r>
              <w:rPr>
                <w:b w:val="0"/>
                <w:sz w:val="19"/>
              </w:rPr>
              <w:t>[___] Birr</w:t>
            </w:r>
          </w:p>
        </w:tc>
        <w:tc>
          <w:tcPr>
            <w:tcW w:type="dxa" w:w="2269"/>
            <w:shd w:fill="F2F2F2" w:val="clear"/>
          </w:tcPr>
          <w:p>
            <w:r>
              <w:rPr>
                <w:b w:val="0"/>
                <w:sz w:val="19"/>
              </w:rPr>
              <w:t>[X] opportunities</w:t>
            </w:r>
          </w:p>
        </w:tc>
        <w:tc>
          <w:tcPr>
            <w:tcW w:type="dxa" w:w="2269"/>
            <w:shd w:fill="F2F2F2" w:val="clear"/>
          </w:tcPr>
          <w:p>
            <w:r>
              <w:rPr>
                <w:b w:val="0"/>
                <w:sz w:val="19"/>
              </w:rPr>
              <w:t>[ ]</w:t>
            </w:r>
          </w:p>
        </w:tc>
      </w:tr>
      <w:tr>
        <w:tc>
          <w:tcPr>
            <w:tcW w:type="dxa" w:w="2269"/>
            <w:shd w:fill="FFFFFF" w:val="clear"/>
          </w:tcPr>
          <w:p>
            <w:r>
              <w:rPr>
                <w:b w:val="0"/>
                <w:sz w:val="19"/>
              </w:rPr>
              <w:t>Active Opportunities</w:t>
            </w:r>
          </w:p>
        </w:tc>
        <w:tc>
          <w:tcPr>
            <w:tcW w:type="dxa" w:w="2269"/>
            <w:shd w:fill="FFFFFF" w:val="clear"/>
          </w:tcPr>
          <w:p>
            <w:r>
              <w:rPr>
                <w:b w:val="0"/>
                <w:sz w:val="19"/>
              </w:rPr>
              <w:t>[#]</w:t>
            </w:r>
          </w:p>
        </w:tc>
        <w:tc>
          <w:tcPr>
            <w:tcW w:type="dxa" w:w="2269"/>
            <w:shd w:fill="FFFFFF" w:val="clear"/>
          </w:tcPr>
          <w:p>
            <w:r>
              <w:rPr>
                <w:b w:val="0"/>
                <w:sz w:val="19"/>
              </w:rPr>
              <w:t>Expected: [___] Birr</w:t>
            </w:r>
          </w:p>
        </w:tc>
        <w:tc>
          <w:tcPr>
            <w:tcW w:type="dxa" w:w="2269"/>
            <w:shd w:fill="FFFFFF" w:val="clear"/>
          </w:tcPr>
          <w:p>
            <w:r>
              <w:rPr>
                <w:b w:val="0"/>
                <w:sz w:val="19"/>
              </w:rPr>
              <w:t>[ ]</w:t>
            </w:r>
          </w:p>
        </w:tc>
      </w:tr>
      <w:tr>
        <w:tc>
          <w:tcPr>
            <w:tcW w:type="dxa" w:w="2269"/>
            <w:shd w:fill="F2F2F2" w:val="clear"/>
          </w:tcPr>
          <w:p>
            <w:r>
              <w:rPr>
                <w:b w:val="0"/>
                <w:sz w:val="19"/>
              </w:rPr>
              <w:t>KPI Tracker Score</w:t>
            </w:r>
          </w:p>
        </w:tc>
        <w:tc>
          <w:tcPr>
            <w:tcW w:type="dxa" w:w="2269"/>
            <w:shd w:fill="F2F2F2" w:val="clear"/>
          </w:tcPr>
          <w:p>
            <w:r>
              <w:rPr>
                <w:b w:val="0"/>
                <w:sz w:val="19"/>
              </w:rPr>
              <w:t>[___]</w:t>
            </w:r>
          </w:p>
        </w:tc>
        <w:tc>
          <w:tcPr>
            <w:tcW w:type="dxa" w:w="2269"/>
            <w:shd w:fill="F2F2F2" w:val="clear"/>
          </w:tcPr>
          <w:p>
            <w:r>
              <w:rPr>
                <w:b w:val="0"/>
                <w:sz w:val="19"/>
              </w:rPr>
              <w:t>Mesirat / CASA</w:t>
            </w:r>
          </w:p>
        </w:tc>
        <w:tc>
          <w:tcPr>
            <w:tcW w:type="dxa" w:w="2269"/>
            <w:shd w:fill="F2F2F2" w:val="clear"/>
          </w:tcPr>
          <w:p>
            <w:r>
              <w:rPr>
                <w:b w:val="0"/>
                <w:sz w:val="19"/>
              </w:rPr>
              <w:t>[ ]</w:t>
            </w:r>
          </w:p>
        </w:tc>
      </w:tr>
      <w:tr>
        <w:tc>
          <w:tcPr>
            <w:tcW w:type="dxa" w:w="2269"/>
            <w:shd w:fill="FFFFFF" w:val="clear"/>
          </w:tcPr>
          <w:p>
            <w:r>
              <w:rPr>
                <w:b w:val="0"/>
                <w:sz w:val="19"/>
              </w:rPr>
              <w:t>Next Key Action</w:t>
            </w:r>
          </w:p>
        </w:tc>
        <w:tc>
          <w:tcPr>
            <w:tcW w:type="dxa" w:w="2269"/>
            <w:shd w:fill="FFFFFF" w:val="clear"/>
          </w:tcPr>
          <w:p>
            <w:r>
              <w:rPr>
                <w:b w:val="0"/>
                <w:sz w:val="19"/>
              </w:rPr>
              <w:t>[1 line]</w:t>
            </w:r>
          </w:p>
        </w:tc>
        <w:tc>
          <w:tcPr>
            <w:tcW w:type="dxa" w:w="2269"/>
            <w:shd w:fill="FFFFFF" w:val="clear"/>
          </w:tcPr>
          <w:p>
            <w:r>
              <w:rPr>
                <w:b w:val="0"/>
                <w:sz w:val="19"/>
              </w:rPr>
              <w:t>Due: [date]</w:t>
            </w:r>
          </w:p>
        </w:tc>
        <w:tc>
          <w:tcPr>
            <w:tcW w:type="dxa" w:w="2269"/>
            <w:shd w:fill="FFFFFF" w:val="clear"/>
          </w:tcPr>
          <w:p>
            <w:r>
              <w:rPr>
                <w:b w:val="0"/>
                <w:sz w:val="19"/>
              </w:rPr>
              <w:t>[ ]</w:t>
            </w:r>
          </w:p>
        </w:tc>
      </w:tr>
    </w:tbl>
    <w:p/>
    <w:p>
      <w:pPr>
        <w:spacing w:before="280" w:after="80"/>
      </w:pPr>
      <w:r>
        <w:rPr>
          <w:b/>
          <w:color w:val="2E74B5"/>
          <w:sz w:val="24"/>
        </w:rPr>
        <w:t>5. Top 3 Risks &amp; Outstanding Actions</w:t>
      </w:r>
    </w:p>
    <w:tbl>
      <w:tblPr>
        <w:tblW w:type="auto" w:w="0"/>
        <w:jc w:val="left"/>
        <w:tblLook w:firstColumn="1" w:firstRow="1" w:lastColumn="0" w:lastRow="0" w:noHBand="0" w:noVBand="1" w:val="04A0"/>
      </w:tblPr>
      <w:tblGrid>
        <w:gridCol w:w="1815"/>
        <w:gridCol w:w="1815"/>
        <w:gridCol w:w="1815"/>
        <w:gridCol w:w="1815"/>
        <w:gridCol w:w="1815"/>
      </w:tblGrid>
      <w:tr>
        <w:tc>
          <w:tcPr>
            <w:tcW w:type="dxa" w:w="1815"/>
            <w:shd w:fill="1F4E79" w:val="clear"/>
          </w:tcPr>
          <w:p>
            <w:r>
              <w:rPr>
                <w:b/>
                <w:color w:val="FFFFFF"/>
                <w:sz w:val="19"/>
              </w:rPr>
              <w:t>#</w:t>
            </w:r>
          </w:p>
        </w:tc>
        <w:tc>
          <w:tcPr>
            <w:tcW w:type="dxa" w:w="1815"/>
            <w:shd w:fill="1F4E79" w:val="clear"/>
          </w:tcPr>
          <w:p>
            <w:r>
              <w:rPr>
                <w:b/>
                <w:color w:val="FFFFFF"/>
                <w:sz w:val="19"/>
              </w:rPr>
              <w:t>Risk / Action</w:t>
            </w:r>
          </w:p>
        </w:tc>
        <w:tc>
          <w:tcPr>
            <w:tcW w:type="dxa" w:w="1815"/>
            <w:shd w:fill="1F4E79" w:val="clear"/>
          </w:tcPr>
          <w:p>
            <w:r>
              <w:rPr>
                <w:b/>
                <w:color w:val="FFFFFF"/>
                <w:sz w:val="19"/>
              </w:rPr>
              <w:t>Owner</w:t>
            </w:r>
          </w:p>
        </w:tc>
        <w:tc>
          <w:tcPr>
            <w:tcW w:type="dxa" w:w="1815"/>
            <w:shd w:fill="1F4E79" w:val="clear"/>
          </w:tcPr>
          <w:p>
            <w:r>
              <w:rPr>
                <w:b/>
                <w:color w:val="FFFFFF"/>
                <w:sz w:val="19"/>
              </w:rPr>
              <w:t>Deadline</w:t>
            </w:r>
          </w:p>
        </w:tc>
        <w:tc>
          <w:tcPr>
            <w:tcW w:type="dxa" w:w="1815"/>
            <w:shd w:fill="1F4E79" w:val="clear"/>
          </w:tcPr>
          <w:p>
            <w:r>
              <w:rPr>
                <w:b/>
                <w:color w:val="FFFFFF"/>
                <w:sz w:val="19"/>
              </w:rPr>
              <w:t>Status</w:t>
            </w:r>
          </w:p>
        </w:tc>
      </w:tr>
      <w:tr>
        <w:tc>
          <w:tcPr>
            <w:tcW w:type="dxa" w:w="1815"/>
            <w:shd w:fill="FFFFFF" w:val="clear"/>
          </w:tcPr>
          <w:p>
            <w:r>
              <w:rPr>
                <w:b w:val="0"/>
                <w:sz w:val="19"/>
              </w:rPr>
              <w:t>1</w:t>
            </w:r>
          </w:p>
        </w:tc>
        <w:tc>
          <w:tcPr>
            <w:tcW w:type="dxa" w:w="1815"/>
            <w:shd w:fill="FFFFFF" w:val="clear"/>
          </w:tcPr>
          <w:p>
            <w:r>
              <w:rPr>
                <w:b w:val="0"/>
                <w:sz w:val="19"/>
              </w:rPr>
              <w:t>[Description]</w:t>
            </w:r>
          </w:p>
        </w:tc>
        <w:tc>
          <w:tcPr>
            <w:tcW w:type="dxa" w:w="1815"/>
            <w:shd w:fill="FFFFFF" w:val="clear"/>
          </w:tcPr>
          <w:p>
            <w:r>
              <w:rPr>
                <w:b w:val="0"/>
                <w:sz w:val="19"/>
              </w:rPr>
              <w:t>[Name]</w:t>
            </w:r>
          </w:p>
        </w:tc>
        <w:tc>
          <w:tcPr>
            <w:tcW w:type="dxa" w:w="1815"/>
            <w:shd w:fill="FFFFFF" w:val="clear"/>
          </w:tcPr>
          <w:p>
            <w:r>
              <w:rPr>
                <w:b w:val="0"/>
                <w:sz w:val="19"/>
              </w:rPr>
              <w:t>[Date]</w:t>
            </w:r>
          </w:p>
        </w:tc>
        <w:tc>
          <w:tcPr>
            <w:tcW w:type="dxa" w:w="1815"/>
            <w:shd w:fill="FFFFFF" w:val="clear"/>
          </w:tcPr>
          <w:p>
            <w:r>
              <w:rPr>
                <w:b w:val="0"/>
                <w:sz w:val="19"/>
              </w:rPr>
              <w:t>[ ]</w:t>
            </w:r>
          </w:p>
        </w:tc>
      </w:tr>
      <w:tr>
        <w:tc>
          <w:tcPr>
            <w:tcW w:type="dxa" w:w="1815"/>
            <w:shd w:fill="F2F2F2" w:val="clear"/>
          </w:tcPr>
          <w:p>
            <w:r>
              <w:rPr>
                <w:b w:val="0"/>
                <w:sz w:val="19"/>
              </w:rPr>
              <w:t>2</w:t>
            </w:r>
          </w:p>
        </w:tc>
        <w:tc>
          <w:tcPr>
            <w:tcW w:type="dxa" w:w="1815"/>
            <w:shd w:fill="F2F2F2" w:val="clear"/>
          </w:tcPr>
          <w:p>
            <w:r>
              <w:rPr>
                <w:b w:val="0"/>
                <w:sz w:val="19"/>
              </w:rPr>
              <w:t>[Description]</w:t>
            </w:r>
          </w:p>
        </w:tc>
        <w:tc>
          <w:tcPr>
            <w:tcW w:type="dxa" w:w="1815"/>
            <w:shd w:fill="F2F2F2" w:val="clear"/>
          </w:tcPr>
          <w:p>
            <w:r>
              <w:rPr>
                <w:b w:val="0"/>
                <w:sz w:val="19"/>
              </w:rPr>
              <w:t>[Name]</w:t>
            </w:r>
          </w:p>
        </w:tc>
        <w:tc>
          <w:tcPr>
            <w:tcW w:type="dxa" w:w="1815"/>
            <w:shd w:fill="F2F2F2" w:val="clear"/>
          </w:tcPr>
          <w:p>
            <w:r>
              <w:rPr>
                <w:b w:val="0"/>
                <w:sz w:val="19"/>
              </w:rPr>
              <w:t>[Date]</w:t>
            </w:r>
          </w:p>
        </w:tc>
        <w:tc>
          <w:tcPr>
            <w:tcW w:type="dxa" w:w="1815"/>
            <w:shd w:fill="F2F2F2" w:val="clear"/>
          </w:tcPr>
          <w:p>
            <w:r>
              <w:rPr>
                <w:b w:val="0"/>
                <w:sz w:val="19"/>
              </w:rPr>
              <w:t>[ ]</w:t>
            </w:r>
          </w:p>
        </w:tc>
      </w:tr>
      <w:tr>
        <w:tc>
          <w:tcPr>
            <w:tcW w:type="dxa" w:w="1815"/>
            <w:shd w:fill="FFFFFF" w:val="clear"/>
          </w:tcPr>
          <w:p>
            <w:r>
              <w:rPr>
                <w:b w:val="0"/>
                <w:sz w:val="19"/>
              </w:rPr>
              <w:t>3</w:t>
            </w:r>
          </w:p>
        </w:tc>
        <w:tc>
          <w:tcPr>
            <w:tcW w:type="dxa" w:w="1815"/>
            <w:shd w:fill="FFFFFF" w:val="clear"/>
          </w:tcPr>
          <w:p>
            <w:r>
              <w:rPr>
                <w:b w:val="0"/>
                <w:sz w:val="19"/>
              </w:rPr>
              <w:t>[Description]</w:t>
            </w:r>
          </w:p>
        </w:tc>
        <w:tc>
          <w:tcPr>
            <w:tcW w:type="dxa" w:w="1815"/>
            <w:shd w:fill="FFFFFF" w:val="clear"/>
          </w:tcPr>
          <w:p>
            <w:r>
              <w:rPr>
                <w:b w:val="0"/>
                <w:sz w:val="19"/>
              </w:rPr>
              <w:t>[Name]</w:t>
            </w:r>
          </w:p>
        </w:tc>
        <w:tc>
          <w:tcPr>
            <w:tcW w:type="dxa" w:w="1815"/>
            <w:shd w:fill="FFFFFF" w:val="clear"/>
          </w:tcPr>
          <w:p>
            <w:r>
              <w:rPr>
                <w:b w:val="0"/>
                <w:sz w:val="19"/>
              </w:rPr>
              <w:t>[Date]</w:t>
            </w:r>
          </w:p>
        </w:tc>
        <w:tc>
          <w:tcPr>
            <w:tcW w:type="dxa" w:w="1815"/>
            <w:shd w:fill="FFFFFF" w:val="clear"/>
          </w:tcPr>
          <w:p>
            <w:r>
              <w:rPr>
                <w:b w:val="0"/>
                <w:sz w:val="19"/>
              </w:rPr>
              <w:t>[ ]</w:t>
            </w:r>
          </w:p>
        </w:tc>
      </w:tr>
    </w:tbl>
    <w:p/>
    <w:p/>
    <w:p>
      <w:pPr>
        <w:spacing w:before="280" w:after="80"/>
      </w:pPr>
      <w:r>
        <w:rPr>
          <w:b/>
          <w:color w:val="2E74B5"/>
          <w:sz w:val="24"/>
        </w:rPr>
        <w:t>Notes</w:t>
      </w:r>
    </w:p>
    <w:p>
      <w:pPr>
        <w:spacing w:after="40"/>
        <w:ind w:left="283"/>
      </w:pPr>
      <w:r>
        <w:rPr>
          <w:sz w:val="21"/>
        </w:rPr>
        <w:t xml:space="preserve">  • Status: On Track / Warning (+/-10%) / Critical (beyond +/-10% or overdue)</w:t>
      </w:r>
    </w:p>
    <w:p>
      <w:pPr>
        <w:spacing w:after="40"/>
        <w:ind w:left="283"/>
      </w:pPr>
      <w:r>
        <w:rPr>
          <w:sz w:val="21"/>
        </w:rPr>
        <w:t xml:space="preserve">  • Data Confidence: Percentage of data sources with clean data. Below 85% = flag</w:t>
      </w:r>
    </w:p>
    <w:p>
      <w:pPr>
        <w:spacing w:after="40"/>
        <w:ind w:left="283"/>
      </w:pPr>
      <w:r>
        <w:rPr>
          <w:sz w:val="21"/>
        </w:rPr>
        <w:t xml:space="preserve">  • Previous Week Actions: Summarise last week's items before adding new ones</w:t>
      </w:r>
    </w:p>
    <w:p>
      <w:pPr>
        <w:spacing w:after="40"/>
        <w:ind w:left="283"/>
      </w:pPr>
      <w:r>
        <w:rPr>
          <w:sz w:val="21"/>
        </w:rPr>
        <w:t xml:space="preserve">  • Maximum 1 page per report. Detail goes to separate appendix</w:t>
      </w:r>
    </w:p>
    <w:p>
      <w:pPr>
        <w:spacing w:after="40"/>
        <w:ind w:left="283"/>
      </w:pPr>
      <w:r>
        <w:rPr>
          <w:sz w:val="21"/>
        </w:rPr>
        <w:t xml:space="preserve">  • Distribute every Monday by 10:00 to all call participants</w:t>
      </w:r>
    </w:p>
    <w:p>
      <w:r>
        <w:br w:type="page"/>
      </w:r>
    </w:p>
    <w:p>
      <w:pPr>
        <w:spacing w:before="360" w:after="120"/>
      </w:pPr>
      <w:r>
        <w:rPr>
          <w:b/>
          <w:color w:val="1F4E79"/>
          <w:sz w:val="28"/>
        </w:rPr>
        <w:t>Final Recommendations Summary</w:t>
      </w:r>
    </w:p>
    <w:p>
      <w:pPr>
        <w:spacing w:after="60" w:line="276" w:lineRule="auto"/>
      </w:pPr>
      <w:r>
        <w:rPr>
          <w:b w:val="0"/>
          <w:i w:val="0"/>
          <w:sz w:val="21"/>
        </w:rPr>
        <w:t>The current report is well-intentioned but fundamentally misaligned with its purpose: it tracks discussions instead of metrics, uses narrative format instead of data presentation, and has no financial numbers in a document titled 'Finance KPI Report.'</w:t>
      </w:r>
    </w:p>
    <w:p/>
    <w:p>
      <w:pPr>
        <w:spacing w:after="60" w:line="276" w:lineRule="auto"/>
      </w:pPr>
      <w:r>
        <w:rPr>
          <w:b w:val="0"/>
          <w:i w:val="0"/>
          <w:sz w:val="21"/>
        </w:rPr>
        <w:t>The fix is structural, not incremental: replace the format, not the template. The proposed 1-page dashboard contains everything needed for a productive 1-hour weekly KPI call while eliminating all waste.</w:t>
      </w:r>
    </w:p>
    <w:p/>
    <w:p>
      <w:pPr>
        <w:spacing w:before="280" w:after="80"/>
      </w:pPr>
      <w:r>
        <w:rPr>
          <w:b/>
          <w:color w:val="2E74B5"/>
          <w:sz w:val="24"/>
        </w:rPr>
        <w:t>3-Step Action Plan</w:t>
      </w:r>
    </w:p>
    <w:p>
      <w:pPr>
        <w:spacing w:after="60" w:line="276" w:lineRule="auto"/>
      </w:pPr>
      <w:r>
        <w:rPr>
          <w:b w:val="0"/>
          <w:i w:val="0"/>
          <w:sz w:val="21"/>
        </w:rPr>
        <w:t>Step 1 (This Week): Define CP1/CP2 formulas and data sources. Assign a single Report Owner.</w:t>
      </w:r>
    </w:p>
    <w:p>
      <w:pPr>
        <w:spacing w:after="60" w:line="276" w:lineRule="auto"/>
      </w:pPr>
      <w:r>
        <w:rPr>
          <w:b w:val="0"/>
          <w:i w:val="0"/>
          <w:sz w:val="21"/>
        </w:rPr>
        <w:t>Step 2 (Next Week): Build and populate the 1-page template with real numbers for Week 14.</w:t>
      </w:r>
    </w:p>
    <w:p>
      <w:pPr>
        <w:spacing w:after="60" w:line="276" w:lineRule="auto"/>
      </w:pPr>
      <w:r>
        <w:rPr>
          <w:b w:val="0"/>
          <w:i w:val="0"/>
          <w:sz w:val="21"/>
        </w:rPr>
        <w:t>Step 3 (Week 3): Automate the data pipeline. Run first production report. Retire the old format entirely.</w:t>
      </w:r>
    </w:p>
    <w:p/>
    <w:p>
      <w:r>
        <w:rPr>
          <w:i/>
          <w:color w:val="666666"/>
          <w:sz w:val="21"/>
        </w:rPr>
        <w:t>"In God we trust. All others must bring data." — W. Edwards Deming</w:t>
      </w:r>
    </w:p>
    <w:sectPr w:rsidR="00FC693F" w:rsidRPr="0006063C" w:rsidSect="00034616">
      <w:pgSz w:w="12240" w:h="15840"/>
      <w:pgMar w:top="1440" w:right="1582" w:bottom="1440" w:left="158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