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논문 3  v7.0  |  중복 제거 + 시각화 강화 갱신본</w:t>
      </w:r>
    </w:p>
    <w:p>
      <w:pPr>
        <w:spacing w:after="40" w:before="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고팡(Gopang)·K-Law 시스템의 설계·구현·사회적 파장</w:t>
      </w:r>
    </w:p>
    <w:p>
      <w:pPr>
        <w:spacing w:after="30" w:before="3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3"/>
          <w:szCs w:val="23"/>
        </w:rPr>
        <w:t xml:space="preserve">Gopang·K-Law System: Design, Implementation and Social Impact of a Preventive Legal AI Platform</w:t>
      </w:r>
    </w:p>
    <w:p>
      <w:pPr>
        <w:spacing w:after="0" w:before="60"/>
      </w:pPr>
    </w:p>
    <w:p>
      <w:pPr>
        <w:spacing w:after="30" w:before="3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저자: [저자명]  |  소속: K-Law 연구그룹, AI City Inc.</w:t>
      </w:r>
    </w:p>
    <w:p>
      <w:pPr>
        <w:spacing w:after="30" w:before="3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버전: 7.0  |  2026년 5월  |  투고 목표: Law, Innovation and Technology (Taylor &amp; Francis)</w:t>
      </w:r>
    </w:p>
    <w:p>
      <w:pPr>
        <w:pBdr>
          <w:bottom w:val="single" w:color="CCCCCC" w:sz="2"/>
        </w:pBdr>
        <w:spacing w:after="120" w:before="120"/>
      </w:pPr>
    </w:p>
    <w:p>
      <w:pPr>
        <w:spacing w:after="0" w:before="40"/>
      </w:pP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8"/>
      </w:tblGrid>
      <w:tr>
        <w:tc>
          <w:tcPr>
            <w:tcW w:type="dxa" w:w="920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■ v7.0 주요 개정 사항</w:t>
            </w:r>
          </w:p>
          <w:p>
            <w:pPr>
              <w:spacing w:after="40" w:before="40" w:line="3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▶ 폰트: 맑은 고딕 / 행간: 1.5배 (전 본문 통일)</w:t>
            </w:r>
          </w:p>
          <w:p>
            <w:pPr>
              <w:spacing w:after="40" w:before="40" w:line="3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▶ 시각 자료 15개 신규 삽입: 차트 10개 + 순서도 5개</w:t>
            </w:r>
          </w:p>
          <w:p>
            <w:pPr>
              <w:spacing w:after="40" w:before="40" w:line="3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▶ 중복 평가 권고 반영: 논문 1·2 중복 내용 → 인용 처리로 대체</w:t>
            </w:r>
          </w:p>
          <w:p>
            <w:pPr>
              <w:spacing w:after="40" w:before="40" w:line="3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▶ PDV 해시 체인 수식(§2.4): 본 논문 원출처 확정</w:t>
            </w:r>
          </w:p>
          <w:p>
            <w:pPr>
              <w:spacing w:after="40" w:before="40" w:line="3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▶ 논문 4 예고: 가상 판결 파이프라인 22회차 실험으로 수정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400" w:line="360" w:lineRule="auto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§1. 서론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§1.1 연구 계층과 본 논문의 위치</w:t>
      </w: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논문은 K-Law 연구그룹 4편 논문 계층의 세 번째이다. 논문 1(AI &amp; Law)은 예방 법학의 이론·법철학적 기초를, 논문 2(AI &amp; Law)는 K-Law 이종 LLM 실증 방법론을 다룬다. 본 논문(논문 3, LIT)은 고팡·K-Law의 설계·구현·사회적 파장·거버넌스 비전을 독점 서술하며, 논문 4(AI &amp; Law)는 가상 판결 생성 파이프라인 22회차 실험을 보고한다.</w:t>
      </w: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K-Law 3계층 구조(Layer 1 고팡, Layer 2 PDV 예방·증거, Layer 3 K-Law 분쟁 해결)의 이론적 기초는 논문 1 §3.1에 완전히 서술되어 있다. 본 논문은 그 구현 세부를 다룬다.</w:t>
      </w:r>
    </w:p>
    <w:p>
      <w:pPr>
        <w:spacing w:after="40" w:before="40" w:line="300" w:lineRule="auto"/>
        <w:ind w:left="480" w:right="24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→ K-Law 3계층 아키텍처 이론: 논문 1 §3.1 참조.</w:t>
      </w:r>
    </w:p>
    <w:p>
      <w:pPr>
        <w:spacing w:after="40" w:before="40" w:line="300" w:lineRule="auto"/>
        <w:ind w:left="480" w:right="24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→ 사법 시스템 과부하 수치(691만 건, 3년 이상, 수천만 원): 논문 1 §1.1 참조.</w:t>
      </w:r>
    </w:p>
    <w:p>
      <w:pPr>
        <w:spacing w:after="40" w:before="40" w:line="300" w:lineRule="auto"/>
        <w:ind w:left="480" w:right="24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→ 선행 연구 비교(AgentsCourt, Sourdin, Zeleznikow): 논문 1 §1.2 및 논문 2 §2.4 참조.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§1.2 연구 질문 (RQ1~RQ5)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RQ1: 고팡·K-Law 시스템의 기술 구현은 무엇이며, PDV 해시 체인과 Telegram TWA 통합은 어떻게 동작하는가?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RQ2: v7.1 방법론 기준, K-Law(통합심)는 법원 공개 판결문 300건 대비 통계적으로 유의미하게 우수한가?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RQ3: 고팡 도입 시 소통 매개 범죄·분쟁의 예방 효과는 어느 수준으로 추정되는가?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RQ4: 해시체인 기반 입법 관리와 통합심의 결합은 어떤 순환 거버넌스 구조를 가능하게 하는가?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RQ5: K-Law의 현행 법적 지위는 무엇이며, 법조계 공식 채택으로 나아가는 경로는 어떻게 설계되는가?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pacing w:after="120" w:before="400" w:line="360" w:lineRule="auto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§2. 시스템 구현 — 논문 3 독점 영역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§2.1 고팡 4자 소통 생태계 아키텍처</w:t>
      </w: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고팡(Gopang)은 K-Law 예방 법학 AI를 탑재한 차세대 통합 AI 비서 플랫폼이다. 기존 채팅 앱이 사람-사람 소통만을 전제하는 것과 달리, 고팡은 사람·AI·기관·사물 네 종류의 주체가 서로 소통하는 4자 소통 생태계(four-party communication ecosystem)를 구현한다. 모든 소통은 생성 즉시 PDV에 기록되고 OpenHash에 앵커링된다.</w:t>
      </w:r>
    </w:p>
    <w:p>
      <w:pPr>
        <w:spacing w:after="80" w:before="80"/>
        <w:jc w:val="center"/>
      </w:pPr>
      <w:r>
        <w:drawing>
          <wp:inline distT="0" distB="0" distL="0" distR="0">
            <wp:extent cx="565785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그림 D2  고팡 4자 소통 생태계 + K-Law 3계층 아키텍처</w:t>
      </w:r>
    </w:p>
    <w:p>
      <w:pPr>
        <w:spacing w:after="0" w:before="40"/>
      </w:pP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8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소통 주체</w:t>
            </w:r>
          </w:p>
        </w:tc>
        <w:tc>
          <w:tcPr>
            <w:tcW w:type="dxa" w:w="7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 및 구현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사람(People)</w:t>
            </w:r>
          </w:p>
        </w:tc>
        <w:tc>
          <w:tcPr>
            <w:tcW w:type="dxa" w:w="7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일반 사용자. 개인 PDV를 통해 소통 기록. AI 에이전트 배정 수령.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AI 에이전트</w:t>
            </w:r>
          </w:p>
        </w:tc>
        <w:tc>
          <w:tcPr>
            <w:tcW w:type="dxa" w:w="7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전용 AI 비서. 소통 실시간 분석, 위법 징후 경고, K-Law 분석 수행.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기관(Institutions)</w:t>
            </w:r>
          </w:p>
        </w:tc>
        <w:tc>
          <w:tcPr>
            <w:tcW w:type="dxa" w:w="7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기업·공공기관·법원·금융기관. 공식 소통(계약서·고지·안내) 수행.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사물(Things)</w:t>
            </w:r>
          </w:p>
        </w:tc>
        <w:tc>
          <w:tcPr>
            <w:tcW w:type="dxa" w:w="7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IoT 기기, 자율주행차, 스마트 계약 실행 시스템. 배송·계약 이행 자동 기록.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T1  고팡 4자 소통 생태계 주체별 역할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§2.2 K-Law IDDM v1.0 — 실시간 위험 탐지</w:t>
      </w: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사용자 메시지는 IDDM(Intelligent Dispute Detection Module) v1.0에 의해 실시간 분석된다. Fast-Path(FP-01~FP-08) 패턴 매칭이 LLM 호출 전에 선행 탐지하여 평균 0.8mS로 처리한다. 방법론 전체 명세(Phase 0~6)는 논문 4에서 상술한다. 본 절은 구현 구조를 기술한다.</w:t>
      </w:r>
    </w:p>
    <w:p>
      <w:pPr>
        <w:spacing w:after="40" w:before="40" w:line="300" w:lineRule="auto"/>
        <w:ind w:left="480" w:right="24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→ IDDM v1.0 방법론 전체 명세: 논문 4 참조.</w:t>
      </w:r>
    </w:p>
    <w:p>
      <w:pPr>
        <w:spacing w:after="80" w:before="80"/>
        <w:jc w:val="center"/>
      </w:pPr>
      <w:r>
        <w:drawing>
          <wp:inline distT="0" distB="0" distL="0" distR="0">
            <wp:extent cx="565785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그림 T2  K-Law IDDM v1.0 — 위험 등급 분포 및 탐지 속도</w:t>
      </w:r>
    </w:p>
    <w:p>
      <w:pPr>
        <w:spacing w:after="0" w:before="40"/>
      </w:pP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08"/>
        <w:gridCol w:w="32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40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CR</w:t>
            </w:r>
          </w:p>
        </w:tc>
        <w:tc>
          <w:tcPr>
            <w:tcW w:type="dxa" w:w="40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계약·거래 분쟁 씨앗 감지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경고 + 문서화 권고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🟠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CV</w:t>
            </w:r>
          </w:p>
        </w:tc>
        <w:tc>
          <w:tcPr>
            <w:tcW w:type="dxa" w:w="40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강행규정 위반 소지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강력 경고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LB</w:t>
            </w:r>
          </w:p>
        </w:tc>
        <w:tc>
          <w:tcPr>
            <w:tcW w:type="dxa" w:w="40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민·형사 책임 직전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전문가 상담 권고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🚫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CC</w:t>
            </w:r>
          </w:p>
        </w:tc>
        <w:tc>
          <w:tcPr>
            <w:tcW w:type="dxa" w:w="40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형사처벌 가능성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전송 중단 강력 권고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T2  K-Law IDDM v1.0 — 4등급 위험 체계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§2.3 K-Law 판결 시뮬레이션 v13.2 — 4단계 흐름</w:t>
      </w:r>
    </w:p>
    <w:p>
      <w:pPr>
        <w:spacing w:after="80" w:before="80"/>
        <w:jc w:val="center"/>
      </w:pPr>
      <w:r>
        <w:drawing>
          <wp:inline distT="0" distB="0" distL="0" distR="0">
            <wp:extent cx="4800600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그림 T3  K-Law 판결 시뮬레이션 v13.2 — 4단계 흐름 (공리 전용, 웹 검색 금지)</w:t>
      </w:r>
    </w:p>
    <w:p>
      <w:pPr>
        <w:spacing w:after="0" w:before="40"/>
      </w:pP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408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4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처리</w:t>
            </w:r>
          </w:p>
        </w:tc>
      </w:tr>
      <w:tr>
        <w:trPr>
          <w:tblHeader w:val="false"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사건 접수</w:t>
            </w:r>
          </w:p>
        </w:tc>
        <w:tc>
          <w:tcPr>
            <w:tcW w:type="dxa" w:w="54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사용자 사건 기술 수령, PDV 연동 여부 확인</w:t>
            </w:r>
          </w:p>
        </w:tc>
      </w:tr>
      <w:tr>
        <w:trPr>
          <w:tblHeader w:val="false"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사건 분석</w:t>
            </w:r>
          </w:p>
        </w:tc>
        <w:tc>
          <w:tcPr>
            <w:tcW w:type="dxa" w:w="54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PDV 기록 검색, 사건 유형·분야 분류</w:t>
            </w:r>
          </w:p>
        </w:tc>
      </w:tr>
      <w:tr>
        <w:trPr>
          <w:tblHeader w:val="false"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판결 시뮬레이션</w:t>
            </w:r>
          </w:p>
        </w:tc>
        <w:tc>
          <w:tcPr>
            <w:tcW w:type="dxa" w:w="54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v13.2 공리 STEP 0→A→B→C 순차 적용</w:t>
            </w:r>
          </w:p>
        </w:tc>
      </w:tr>
      <w:tr>
        <w:trPr>
          <w:tblHeader w:val="false"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결과 제공</w:t>
            </w:r>
          </w:p>
        </w:tc>
        <w:tc>
          <w:tcPr>
            <w:tcW w:type="dxa" w:w="54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Markdown/TXT/PDF 다운로드 제공</w:t>
            </w:r>
          </w:p>
        </w:tc>
      </w:tr>
      <w:tr>
        <w:trPr>
          <w:tblHeader w:val="false"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핵심 원칙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웹 검색 금지</w:t>
            </w:r>
          </w:p>
        </w:tc>
        <w:tc>
          <w:tcPr>
            <w:tcW w:type="dxa" w:w="54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실제 판결 참조 없이 공리 체계만으로 판단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T3  K-Law 판결 시뮬레이션 v13.2 단계별 흐름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§2.4 OpenHash PDV 구현 상세 — 본 논문 독점 원출처</w:t>
      </w: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8"/>
      </w:tblGrid>
      <w:tr>
        <w:tc>
          <w:tcPr>
            <w:tcW w:type="dxa" w:w="920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▶ 본 절(§2.4)은 PDV 해시 체인 수식·3요건·3계층 저장 구조의 원출처이다.</w:t>
            </w:r>
          </w:p>
          <w:p>
            <w:pPr>
              <w:spacing w:after="40" w:before="40" w:line="36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  논문 1·2에서 동일 내용이 기술된 경우 본 절 참조로 대체하여야 한다.</w:t>
            </w:r>
          </w:p>
        </w:tc>
      </w:tr>
    </w:tbl>
    <w:p>
      <w:pPr>
        <w:spacing w:after="0" w:before="60"/>
      </w:pP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OpenHash PDV의 해시 체인 모델은 다음과 같이 정의된다.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H_u = (h₁, h₂, ..., hₜ),    hᵢ = SHA-256(hᵢ₋₁ ∥ dataᵢ ∥ heightᵢ)</w:t>
      </w: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heightᵢ는 논스(nonce) 역할을 수행하여 재생 공격을 원천 차단한다. 이 해시 체인은 세 가지 핵심 요건을 충족한다: (1) 위변조 불가 — 단일 블록 변경 시 이후 전체 체인 해시 불일치로 즉시 감지, (2) 타임스탬프 — heightᵢ가 블록 생성 순서를 결정론적으로 기록, (3) 자기 증명 — 원본 데이터 없이 해시값만으로 무결성 입증 가능.</w:t>
      </w:r>
    </w:p>
    <w:p>
      <w:pPr>
        <w:spacing w:after="80" w:before="80"/>
        <w:jc w:val="center"/>
      </w:pPr>
      <w:r>
        <w:drawing>
          <wp:inline distT="0" distB="0" distL="0" distR="0">
            <wp:extent cx="565785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그림 T4  OpenHash PDV — 3계층 저장 구조 (원출처: 논문 3 §2.4)</w:t>
      </w:r>
    </w:p>
    <w:p>
      <w:pPr>
        <w:spacing w:after="0" w:before="40"/>
      </w:pP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608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저장소</w:t>
            </w:r>
          </w:p>
        </w:tc>
        <w:tc>
          <w:tcPr>
            <w:tcW w:type="dxa" w:w="5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Layer 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Telegram CloudStorage</w:t>
            </w:r>
          </w:p>
        </w:tc>
        <w:tc>
          <w:tcPr>
            <w:tcW w:type="dxa" w:w="5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해시 체인 메타데이터 (height, hash, ts, risk, prev) — E2E 암호화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Layer 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Oracle Cloud SQLite</w:t>
            </w:r>
          </w:p>
        </w:tc>
        <w:tc>
          <w:tcPr>
            <w:tcW w:type="dxa" w:w="5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AES-256 암호화 원본 (사용자 키로 암호화, 서버 복호화 불가)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Layer 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OpenHash L1 앵커</w:t>
            </w:r>
          </w:p>
        </w:tc>
        <w:tc>
          <w:tcPr>
            <w:tcW w:type="dxa" w:w="5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해시값만 (원본 없음) — 4.2mS 등록, 1초 이내 사실 확인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T4  OpenHash PDV 3계층 저장 구조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§2.5 배포 인프라</w:t>
      </w: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8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사양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서버</w:t>
            </w:r>
          </w:p>
        </w:tc>
        <w:tc>
          <w:tcPr>
            <w:tcW w:type="dxa" w:w="72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Oracle Cloud Always Free — VM.Standard.E2.1.Micro (Ubuntu 22.04)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스택</w:t>
            </w:r>
          </w:p>
        </w:tc>
        <w:tc>
          <w:tcPr>
            <w:tcW w:type="dxa" w:w="72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Nginx 1.18 / Flask 3.1 / Python 3.10 / SQLite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비용</w:t>
            </w:r>
          </w:p>
        </w:tc>
        <w:tc>
          <w:tcPr>
            <w:tcW w:type="dxa" w:w="72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$0/월 (Oracle Always Free 영구 무료)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72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http://144.24.90.233/law/gopang_demo.html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T5  고팡 배포 인프라 사양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§2.6 결론 분리 3단계 앙상블 구현 — klaw_ensemble.py</w:t>
      </w: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결론 분리 3단계 앙상블 아키텍처(DeepSeek 생성자 / LogicEngine v2 / Claude 판단자)의 설계 원리와 편향 격리 이론은 논문 2 §3.6에서 원출처로 완전히 서술되어 있다. 본 절은 논문 3의 독점 영역인 실제 구현 세부를 기술한다.</w:t>
      </w:r>
    </w:p>
    <w:p>
      <w:pPr>
        <w:spacing w:after="40" w:before="40" w:line="300" w:lineRule="auto"/>
        <w:ind w:left="480" w:right="24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→ 결론 분리 아키텍처 설계 이론 및 편향 격리 원리: 논문 2 §3.6 참조.</w:t>
      </w:r>
    </w:p>
    <w:p>
      <w:pPr>
        <w:spacing w:after="80" w:before="80"/>
        <w:jc w:val="center"/>
      </w:pPr>
      <w:r>
        <w:drawing>
          <wp:inline distT="0" distB="0" distL="0" distR="0">
            <wp:extent cx="56578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그림 D3  klaw_ensemble.py — 결론 분리 3단계 앙상블 파이프라인</w:t>
      </w:r>
    </w:p>
    <w:p>
      <w:pPr>
        <w:spacing w:after="0" w:before="40"/>
      </w:pP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208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52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구현 세부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DeepSeek 생성자</w:t>
            </w:r>
          </w:p>
        </w:tc>
        <w:tc>
          <w:tcPr>
            <w:tcW w:type="dxa" w:w="52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판결문 생성 + B-6 반전 논거 탐색. self_override_detected 플래그 발동 시 경고 태그 삽입.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LogicEngine v2</w:t>
            </w:r>
          </w:p>
        </w:tc>
        <w:tc>
          <w:tcPr>
            <w:tcW w:type="dxa" w:w="52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순수 Python 비-LLM 결정론적 엔진. 5개 위험 플래그 감지. DeepSeek 판결문을 구조화 매트릭스로 변환.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Claude 판단자</w:t>
            </w:r>
          </w:p>
        </w:tc>
        <w:tc>
          <w:tcPr>
            <w:tcW w:type="dxa" w:w="52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매트릭스만 입력(사건 원문 완전 차단). 논리 구조 신호만으로 유지/재검토권고/조건부유지 판단.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T6  결론 분리 3단계 앙상블 Phase별 구현 세부</w:t>
      </w:r>
    </w:p>
    <w:p>
      <w:pPr>
        <w:spacing w:after="0" w:before="40"/>
      </w:pP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8"/>
      </w:tblGrid>
      <w:tr>
        <w:tc>
          <w:tcPr>
            <w:tcW w:type="dxa" w:w="9208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▶ 결론은 자동으로 변경되지 않는다. 경고 태그가 삽입되어 평가자가 즉시 인지하고 실제 판결과 대조한다.</w:t>
            </w:r>
          </w:p>
          <w:p>
            <w:pPr>
              <w:spacing w:after="40" w:before="40" w:line="3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▶ 앙상블은 인간 검토를 대체하는 것이 아니라, 인간 검토가 필요한 사건을 선별하는 도구이다.</w:t>
            </w:r>
          </w:p>
        </w:tc>
      </w:tr>
    </w:tbl>
    <w:p>
      <w:pPr>
        <w:pBdr>
          <w:bottom w:val="single" w:color="CCCCCC" w:sz="2"/>
        </w:pBdr>
        <w:spacing w:after="120" w:before="120"/>
      </w:pPr>
    </w:p>
    <w:p>
      <w:pPr>
        <w:pStyle w:val="Heading1"/>
        <w:spacing w:after="120" w:before="400" w:line="360" w:lineRule="auto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§3. 대규모 실증 검증 — 300건 판결문 비교 분석</w:t>
      </w: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N=1 임대차보증금 사례와 N=5 비교 실증 데이터의 산출 방법 및 원출처 수치는 각각 논문 1 §4.1~4.3·§4.4 및 논문 2 §5에 서술되어 있다. 본 장은 N=300 대규모 실증을 독점 보고한다.</w:t>
      </w:r>
    </w:p>
    <w:p>
      <w:pPr>
        <w:spacing w:after="40" w:before="40" w:line="300" w:lineRule="auto"/>
        <w:ind w:left="480" w:right="24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→ N=1 사례 상세 산출 과정: 논문 1 §4.1~4.3 및 논문 2 §5 참조.</w:t>
      </w:r>
    </w:p>
    <w:p>
      <w:pPr>
        <w:spacing w:after="40" w:before="40" w:line="300" w:lineRule="auto"/>
        <w:ind w:left="480" w:right="24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→ N=5 비교 실증 원출처: 논문 2 §5.6. 본 논문 §3.3-C의 통합 비교 표는 맥락 제시를 위한 요약임.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§3.1 연구 설계</w:t>
      </w: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v7.1 방법론 적용: Phase 0~8 전 과정, Q0.1~Q0.13 자동 연동, 5대 영역 31개 항목 + 13개 감산 규정, 분야별 필수 모듈 A~G, 심급별 차등 가중치. 독립 법학자 최소 3인 블라인드 평가, Cohen's κ ≥ 0.61 적용.</w:t>
      </w: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408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표본 구성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1심 (100건)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2심 (100건)</w:t>
            </w:r>
          </w:p>
        </w:tc>
        <w:tc>
          <w:tcPr>
            <w:tcW w:type="dxa" w:w="24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3심 (100건)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민사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25건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25건</w:t>
            </w:r>
          </w:p>
        </w:tc>
        <w:tc>
          <w:tcPr>
            <w:tcW w:type="dxa" w:w="24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25건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형사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25건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25건</w:t>
            </w:r>
          </w:p>
        </w:tc>
        <w:tc>
          <w:tcPr>
            <w:tcW w:type="dxa" w:w="24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25건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행정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25건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25건</w:t>
            </w:r>
          </w:p>
        </w:tc>
        <w:tc>
          <w:tcPr>
            <w:tcW w:type="dxa" w:w="24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25건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노동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25건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25건</w:t>
            </w:r>
          </w:p>
        </w:tc>
        <w:tc>
          <w:tcPr>
            <w:tcW w:type="dxa" w:w="24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25건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T7  표본 구성 — 층화 표집 구조 (4개 분야 × 3개 심급, 총 300건)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§3.2 핵심 결과 — 법리 완결성 분야별 비교</w:t>
      </w:r>
    </w:p>
    <w:p>
      <w:pPr>
        <w:spacing w:after="80" w:before="80"/>
        <w:jc w:val="center"/>
      </w:pPr>
      <w:r>
        <w:drawing>
          <wp:inline distT="0" distB="0" distL="0" distR="0">
            <wp:extent cx="565785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그림 1  K-Law vs 법원 판결: 법리 완결성 분야별 비교 (N=300, t=9.70, p&lt;0.001, Cohen's d=0.79)</w:t>
      </w:r>
    </w:p>
    <w:p>
      <w:pPr>
        <w:spacing w:after="0" w:before="40"/>
      </w:pP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2048"/>
        <w:gridCol w:w="2000"/>
      </w:tblGrid>
      <w:tr>
        <w:trPr>
          <w:tblHeader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분야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법원 평균(점)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K-Law 평균(점)</w:t>
            </w:r>
          </w:p>
        </w:tc>
        <w:tc>
          <w:tcPr>
            <w:tcW w:type="dxa" w:w="20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점수 차이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통계 유의성</w:t>
            </w:r>
          </w:p>
        </w:tc>
      </w:tr>
      <w:tr>
        <w:trPr>
          <w:tblHeader w:val="false"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민사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64.3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81.8</w:t>
            </w:r>
          </w:p>
        </w:tc>
        <w:tc>
          <w:tcPr>
            <w:tcW w:type="dxa" w:w="20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+17.5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 &lt; 0.001</w:t>
            </w:r>
          </w:p>
        </w:tc>
      </w:tr>
      <w:tr>
        <w:trPr>
          <w:tblHeader w:val="false"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형사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67.1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83.2</w:t>
            </w:r>
          </w:p>
        </w:tc>
        <w:tc>
          <w:tcPr>
            <w:tcW w:type="dxa" w:w="20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+16.1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 &lt; 0.001</w:t>
            </w:r>
          </w:p>
        </w:tc>
      </w:tr>
      <w:tr>
        <w:trPr>
          <w:tblHeader w:val="false"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행정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68.4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82.9</w:t>
            </w:r>
          </w:p>
        </w:tc>
        <w:tc>
          <w:tcPr>
            <w:tcW w:type="dxa" w:w="20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+14.5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 &lt; 0.001</w:t>
            </w:r>
          </w:p>
        </w:tc>
      </w:tr>
      <w:tr>
        <w:trPr>
          <w:tblHeader w:val="false"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노동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65.9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81.7</w:t>
            </w:r>
          </w:p>
        </w:tc>
        <w:tc>
          <w:tcPr>
            <w:tcW w:type="dxa" w:w="20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+15.8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 &lt; 0.001</w:t>
            </w:r>
          </w:p>
        </w:tc>
      </w:tr>
      <w:tr>
        <w:trPr>
          <w:tblHeader w:val="false"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종합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66.5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82.4</w:t>
            </w:r>
          </w:p>
        </w:tc>
        <w:tc>
          <w:tcPr>
            <w:tcW w:type="dxa" w:w="20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+15.9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t=9.70, d=0.79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T8  사건 유형별 법리 완결성 점수 비교 (N=300)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§3.3 오류 유형 분포 분석</w:t>
      </w:r>
    </w:p>
    <w:p>
      <w:pPr>
        <w:spacing w:after="80" w:before="80"/>
        <w:jc w:val="center"/>
      </w:pPr>
      <w:r>
        <w:drawing>
          <wp:inline distT="0" distB="0" distL="0" distR="0">
            <wp:extent cx="565785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그림 2  법원 판결 오류 유형 분포 (상위 5개, 총 882건) — K-Law: 전 유형 0건</w:t>
      </w:r>
    </w:p>
    <w:p>
      <w:pPr>
        <w:spacing w:after="0" w:before="40"/>
      </w:pP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법원 판결 300건에서 총 882건의 법리 오류가 확인되었다. 변론주의 위반(52건)이 최다이며, 법률 없는 권리 창설(43건), 규범 위계 역전(38건)이 뒤를 잇는다. K-Law는 5개 주요 오류 유형 전부에서 0건을 기록하였다.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§3.4 심급별 추이 분석</w:t>
      </w:r>
    </w:p>
    <w:p>
      <w:pPr>
        <w:spacing w:after="80" w:before="80"/>
        <w:jc w:val="center"/>
      </w:pPr>
      <w:r>
        <w:drawing>
          <wp:inline distT="0" distB="0" distL="0" distR="0">
            <wp:extent cx="5143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그림 3  심급별 법리 완결성 점수 추이 (N=300) — K-Law: 전 심급 일관 우위</w:t>
      </w:r>
    </w:p>
    <w:p>
      <w:pPr>
        <w:spacing w:after="0" w:before="40"/>
      </w:pP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1848"/>
        <w:gridCol w:w="2200"/>
      </w:tblGrid>
      <w:tr>
        <w:trPr>
          <w:tblHeader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심급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법원 평균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K-Law 평균</w:t>
            </w:r>
          </w:p>
        </w:tc>
        <w:tc>
          <w:tcPr>
            <w:tcW w:type="dxa" w:w="18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차이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1심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62.1점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80.4점</w:t>
            </w:r>
          </w:p>
        </w:tc>
        <w:tc>
          <w:tcPr>
            <w:tcW w:type="dxa" w:w="18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+18.3점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법원 오류 최다</w:t>
            </w:r>
          </w:p>
        </w:tc>
      </w:tr>
      <w:tr>
        <w:trPr>
          <w:tblHeader w:val="false"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2심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66.8점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83.1점</w:t>
            </w:r>
          </w:p>
        </w:tc>
        <w:tc>
          <w:tcPr>
            <w:tcW w:type="dxa" w:w="18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+16.3점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오류 일부 시정</w:t>
            </w:r>
          </w:p>
        </w:tc>
      </w:tr>
      <w:tr>
        <w:trPr>
          <w:tblHeader w:val="false"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3심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70.6점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83.7점</w:t>
            </w:r>
          </w:p>
        </w:tc>
        <w:tc>
          <w:tcPr>
            <w:tcW w:type="dxa" w:w="184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+13.1점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격차 유지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T9  심급별 법리 완결성 점수 비교 (N=300)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§3.4-B 다차원 성능 비교</w:t>
      </w:r>
    </w:p>
    <w:p>
      <w:pPr>
        <w:spacing w:after="80" w:before="80"/>
        <w:jc w:val="center"/>
      </w:pPr>
      <w:r>
        <w:drawing>
          <wp:inline distT="0" distB="0" distL="0" distR="0">
            <wp:extent cx="44577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그림 6  다차원 성능 비교 레이더 차트: K-Law vs 법원 (정규화 점수, N=300)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§3.5 통합 비교 (N=1 vs 300건 평균) — 맥락 제시</w:t>
      </w: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표는 N=1 사례와 300건 평균의 맥락 비교를 위한 요약이다. N=1 수치의 상세 산출 과정은 논문 2 §5를 참조하라.</w:t>
      </w: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2"/>
        <w:gridCol w:w="1752"/>
        <w:gridCol w:w="1752"/>
        <w:gridCol w:w="1952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1심 판결</w:t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항소심 판결</w:t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K-Law (N=1)</w:t>
            </w:r>
          </w:p>
        </w:tc>
        <w:tc>
          <w:tcPr>
            <w:tcW w:type="dxa" w:w="19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300건 평균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최종 점수</w:t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0점 (F)</w:t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0점 (F)</w:t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90점 (A)</w:t>
            </w:r>
          </w:p>
        </w:tc>
        <w:tc>
          <w:tcPr>
            <w:tcW w:type="dxa" w:w="19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82.4점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건당 오류</w:t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11건</w:t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8건</w:t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0건</w:t>
            </w:r>
          </w:p>
        </w:tc>
        <w:tc>
          <w:tcPr>
            <w:tcW w:type="dxa" w:w="19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2.94건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시간</w:t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수개월</w:t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수개월</w:t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45.8분</w:t>
            </w:r>
          </w:p>
        </w:tc>
        <w:tc>
          <w:tcPr>
            <w:tcW w:type="dxa" w:w="19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45.8분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비용</w:t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수천만 원</w:t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수천만 원</w:t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~36,200원</w:t>
            </w:r>
          </w:p>
        </w:tc>
        <w:tc>
          <w:tcPr>
            <w:tcW w:type="dxa" w:w="19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~36,200원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T10  N=1 사례 vs 300건 평균 통합 비교 — 맥락 제시 (상세 산출: 논문 2 §5 참조)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§3.6 300건 실증의 이론적 함의</w:t>
      </w: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Hart·Dworkin·Rawls 법철학 이론과 K-Law 설계의 전반적 대응 체계는 논문 1 §3.4에 완전히 서술되어 있다.</w:t>
      </w:r>
    </w:p>
    <w:p>
      <w:pPr>
        <w:spacing w:after="40" w:before="40" w:line="300" w:lineRule="auto"/>
        <w:ind w:left="480" w:right="24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→ Hart·Dworkin·Rawls 5대 영역 대응 표: 논문 1 §3.4 참조.</w:t>
      </w:r>
    </w:p>
    <w:p>
      <w:pPr>
        <w:spacing w:after="0" w:before="40"/>
      </w:pP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Hart(1961):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규범 위계 역전 오류 38건은 Hart의 인정 규칙 적용 오류. K-Law의 6단계 규범 위계 강제가 구조적으로 방지.</w:t>
      </w: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Dworkin(1986):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법률 없는 권리 창설 43건(100% 제거)은 Dworkin이 경고한 "재량을 원칙의 발견으로 위장하는" 문제의 실증.</w:t>
      </w: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Rawls(1971):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석명의무 불이행 27건은 Rawls의 차등 원칙이 현행 사법에서 구조적으로 위반되고 있음의 증거. VHI 자동 산출로 방지.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pacing w:after="120" w:before="400" w:line="360" w:lineRule="auto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§4. 법철학적 기반 및 사회적 파장 분석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§4.0 패러다임 전환: 법적 관계의 재정립</w:t>
      </w: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4"/>
        <w:gridCol w:w="4604"/>
      </w:tblGrid>
      <w:tr>
        <w:trPr>
          <w:tblHeader/>
        </w:trPr>
        <w:tc>
          <w:tcPr>
            <w:tcW w:type="dxa" w:w="460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수천 년의 법적 구조</w:t>
            </w:r>
          </w:p>
        </w:tc>
        <w:tc>
          <w:tcPr>
            <w:tcW w:type="dxa" w:w="460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K-Law 새로운 패러다임</w:t>
            </w:r>
          </w:p>
        </w:tc>
      </w:tr>
      <w:tr>
        <w:trPr>
          <w:tblHeader w:val="false"/>
        </w:trPr>
        <w:tc>
          <w:tcPr>
            <w:tcW w:type="dxa" w:w="460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증거 = 타인의 죄를 밝히는 수단</w:t>
            </w:r>
          </w:p>
        </w:tc>
        <w:tc>
          <w:tcPr>
            <w:tcW w:type="dxa" w:w="460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PDV = 나의 무죄를 입증하는 수단</w:t>
            </w:r>
          </w:p>
        </w:tc>
      </w:tr>
      <w:tr>
        <w:trPr>
          <w:tblHeader w:val="false"/>
        </w:trPr>
        <w:tc>
          <w:tcPr>
            <w:tcW w:type="dxa" w:w="460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 = 분쟁 이후 개입</w:t>
            </w:r>
          </w:p>
        </w:tc>
        <w:tc>
          <w:tcPr>
            <w:tcW w:type="dxa" w:w="460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법 = 분쟁 전 일상에 개입</w:t>
            </w:r>
          </w:p>
        </w:tc>
      </w:tr>
      <w:tr>
        <w:trPr>
          <w:tblHeader w:val="false"/>
        </w:trPr>
        <w:tc>
          <w:tcPr>
            <w:tcW w:type="dxa" w:w="460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법적 지식 = 소수 전문가 전유물</w:t>
            </w:r>
          </w:p>
        </w:tc>
        <w:tc>
          <w:tcPr>
            <w:tcW w:type="dxa" w:w="460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법적 지식 = 모든 인간의 일상 권리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T11  법적 패러다임 전환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§4.1 법률 서비스의 민주화 — 비용 비교</w:t>
      </w:r>
    </w:p>
    <w:p>
      <w:pPr>
        <w:spacing w:after="80" w:before="80"/>
        <w:jc w:val="center"/>
      </w:pPr>
      <w:r>
        <w:drawing>
          <wp:inline distT="0" distB="0" distL="0" distR="0">
            <wp:extent cx="48006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그림 5  법률 서비스 비용 비교: 법원 vs K-Law (로그 스케일)</w:t>
      </w:r>
    </w:p>
    <w:p>
      <w:pPr>
        <w:spacing w:after="0" w:before="40"/>
      </w:pP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민사 소송 1심 변호사 선임 비용 평균 450만 원 이상이며, 비용 부담으로 법적 대응을 포기하는 비율은 68%(대한법률구조공단, 2024)이다. K-Law는 약 36,200원, 24시간 이용 가능하다. 약 124배 비용 절감이다.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§4.2 3채널 범죄 억지 모델</w:t>
      </w: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채널 1 — 사전 위험 탐지: </w:t>
      </w:r>
      <w:r>
        <w:rPr>
          <w:rFonts w:ascii="맑은 고딕" w:cs="맑은 고딕" w:eastAsia="맑은 고딕" w:hAnsi="맑은 고딕"/>
          <w:sz w:val="22"/>
          <w:szCs w:val="22"/>
        </w:rPr>
        <w:t xml:space="preserve">IDDM이 소통 단계에서 위법성 경고 발령</w:t>
      </w: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채널 2 — 분쟁 예측 투명화: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소송 전 예상 판결 공개로 불필요한 소송 감소</w:t>
      </w: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채널 3 — 사법-입법 환류: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판결 패턴 분석 → 법리 공백 발견 → 입법 개선안 자동 생성</w:t>
      </w:r>
    </w:p>
    <w:p>
      <w:pPr>
        <w:pBdr>
          <w:left w:val="single" w:color="E67E22" w:sz="14"/>
        </w:pBdr>
        <w:spacing w:after="80" w:before="80" w:line="360" w:lineRule="auto"/>
        <w:ind w:left="360"/>
      </w:pPr>
      <w:r>
        <w:rPr>
          <w:rFonts w:ascii="맑은 고딕" w:cs="맑은 고딕" w:eastAsia="맑은 고딕" w:hAnsi="맑은 고딕"/>
          <w:i/>
          <w:iCs/>
          <w:color w:val="6B4C00"/>
          <w:sz w:val="20"/>
          <w:szCs w:val="20"/>
        </w:rPr>
        <w:t xml:space="preserve">※ 상기 수치는 3채널 억지 모델의 시나리오 추정치이며, 전향적 RCT 검증을 통해 확정 필요.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§4.3 법조인 역할의 불가피한 전환</w:t>
      </w: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824"/>
        <w:gridCol w:w="3824"/>
      </w:tblGrid>
      <w:tr>
        <w:trPr>
          <w:tblHeader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직군</w:t>
            </w:r>
          </w:p>
        </w:tc>
        <w:tc>
          <w:tcPr>
            <w:tcW w:type="dxa" w:w="382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전환 전 (기능 A)</w:t>
            </w:r>
          </w:p>
        </w:tc>
        <w:tc>
          <w:tcPr>
            <w:tcW w:type="dxa" w:w="382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전환 후 (기능 B)</w:t>
            </w:r>
          </w:p>
        </w:tc>
      </w:tr>
      <w:tr>
        <w:trPr>
          <w:tblHeader w:val="false"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판사</w:t>
            </w:r>
          </w:p>
        </w:tc>
        <w:tc>
          <w:tcPr>
            <w:tcW w:type="dxa" w:w="382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연간 수백~수천 건 일상 사건 처리</w:t>
            </w:r>
          </w:p>
        </w:tc>
        <w:tc>
          <w:tcPr>
            <w:tcW w:type="dxa" w:w="382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K-Law 처리 불가 사건 선례 창출 전담</w:t>
            </w:r>
          </w:p>
        </w:tc>
      </w:tr>
      <w:tr>
        <w:trPr>
          <w:tblHeader w:val="false"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변호사</w:t>
            </w:r>
          </w:p>
        </w:tc>
        <w:tc>
          <w:tcPr>
            <w:tcW w:type="dxa" w:w="382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사건별 법률 리서치·서면 작성</w:t>
            </w:r>
          </w:p>
        </w:tc>
        <w:tc>
          <w:tcPr>
            <w:tcW w:type="dxa" w:w="382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K-Law 예상 판결 초과 법리 개발·협상</w:t>
            </w:r>
          </w:p>
        </w:tc>
      </w:tr>
      <w:tr>
        <w:trPr>
          <w:tblHeader w:val="false"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검사</w:t>
            </w:r>
          </w:p>
        </w:tc>
        <w:tc>
          <w:tcPr>
            <w:tcW w:type="dxa" w:w="382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개별 사건 기소 여부 판단</w:t>
            </w:r>
          </w:p>
        </w:tc>
        <w:tc>
          <w:tcPr>
            <w:tcW w:type="dxa" w:w="382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K-Law 법리 검토 후 중요 사건 집중</w:t>
            </w:r>
          </w:p>
        </w:tc>
      </w:tr>
      <w:tr>
        <w:trPr>
          <w:tblHeader w:val="false"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법학자</w:t>
            </w:r>
          </w:p>
        </w:tc>
        <w:tc>
          <w:tcPr>
            <w:tcW w:type="dxa" w:w="382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기존 법 해석·주석</w:t>
            </w:r>
          </w:p>
        </w:tc>
        <w:tc>
          <w:tcPr>
            <w:tcW w:type="dxa" w:w="382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AI 미발견 법 원리 탐구·새 법학 이론</w:t>
            </w:r>
          </w:p>
        </w:tc>
      </w:tr>
      <w:tr>
        <w:trPr>
          <w:tblHeader w:val="false"/>
        </w:trP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입법자</w:t>
            </w:r>
          </w:p>
        </w:tc>
        <w:tc>
          <w:tcPr>
            <w:tcW w:type="dxa" w:w="382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행정 편의 입법 중심</w:t>
            </w:r>
          </w:p>
        </w:tc>
        <w:tc>
          <w:tcPr>
            <w:tcW w:type="dxa" w:w="382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K-Law 법리 공백 분석 기반 사회 가치 입법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T12  법조인 직군별 역할 전환 전후 비교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§4.4 현행 법적 지위 및 단계적 확산 경로</w:t>
      </w:r>
    </w:p>
    <w:p>
      <w:pPr>
        <w:spacing w:after="80" w:before="80"/>
        <w:jc w:val="center"/>
      </w:pPr>
      <w:r>
        <w:drawing>
          <wp:inline distT="0" distB="0" distL="0" distR="0">
            <wp:extent cx="565785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그림 D6  K-Law 4단계 확산 로드맵 (자력 소송 보조 → 법적 제도화)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1단계(현재): 자력 소송 보조 + 변호사 100명 현장 검증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2단계(1~2년): 법조계 공식 채택 — 법원행정처·법무부·대한변호사협회 협력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3단계(3~5년): 국제 확산 — 에스토니아·싱가포르·EU ODR 연계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4단계(7년+): 제도화 — 중재법 개정, 법적 구속력 부여, 헌법 개정 공론화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§4.5 이관율 시나리오</w:t>
      </w:r>
    </w:p>
    <w:p>
      <w:pPr>
        <w:spacing w:after="80" w:before="80"/>
        <w:jc w:val="center"/>
      </w:pPr>
      <w:r>
        <w:drawing>
          <wp:inline distT="0" distB="0" distL="0" distR="0">
            <wp:extent cx="565785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그림 8  사건 이관율 시나리오: 낙관(1%) / 기본(5%) / 보수(9%) (K-Law 처리 vs 법원 이관)</w:t>
      </w:r>
    </w:p>
    <w:p>
      <w:pPr>
        <w:spacing w:after="0" w:before="40"/>
      </w:pPr>
    </w:p>
    <w:p>
      <w:pPr>
        <w:pBdr>
          <w:left w:val="single" w:color="E67E22" w:sz="14"/>
        </w:pBdr>
        <w:spacing w:after="80" w:before="80" w:line="360" w:lineRule="auto"/>
        <w:ind w:left="360"/>
      </w:pPr>
      <w:r>
        <w:rPr>
          <w:rFonts w:ascii="맑은 고딕" w:cs="맑은 고딕" w:eastAsia="맑은 고딕" w:hAnsi="맑은 고딕"/>
          <w:i/>
          <w:iCs/>
          <w:color w:val="6B4C00"/>
          <w:sz w:val="20"/>
          <w:szCs w:val="20"/>
        </w:rPr>
        <w:t xml:space="preserve">※ 기본 추정(각 90%): 현행 대비 1/100. 가장 보수적 시나리오도 현재의 1/11.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§4.6 방법론 정교화의 역설과 법철학적 함의 (v7.0 개정)</w:t>
      </w: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Hart·Dworkin 법철학 전반에 대한 기초 서술은 논문 1 §3.4에 있다. 본 절은 N=5 탐색적 실증에서 관찰된 역설이 해당 이론에 대해 갖는 함의만을 제시한다.</w:t>
      </w:r>
    </w:p>
    <w:p>
      <w:pPr>
        <w:spacing w:after="40" w:before="40" w:line="300" w:lineRule="auto"/>
        <w:ind w:left="480" w:right="24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→ Hart의 "열린 구조", Dworkin의 "관행주의" 이론 기초: 논문 1 §3.4 참조.</w:t>
      </w:r>
    </w:p>
    <w:p>
      <w:pPr>
        <w:spacing w:after="80" w:before="80"/>
        <w:jc w:val="center"/>
      </w:pPr>
      <w:r>
        <w:drawing>
          <wp:inline distT="0" distB="0" distL="0" distR="0">
            <wp:extent cx="565785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그림 9  방법론 역설: 복잡도 증가 ≠ 정확도 향상 (N=5 탐색적) — 방법론 강화→전원합의체 추종 심화→경계 사례 오판</w:t>
      </w:r>
    </w:p>
    <w:p>
      <w:pPr>
        <w:spacing w:after="0" w:before="40"/>
      </w:pP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탐색적 실증(N=5): v13(방법론 없음) 3/5 정답 vs v14.2(방법론 강화) 2/5 정답. 방법론이 강화될수록 전원합의체 판례 추종 경향이 심화되어 경계 사례에서 오판이 발생하였다.</w:t>
      </w:r>
    </w:p>
    <w:p>
      <w:pPr>
        <w:pStyle w:val="Heading3"/>
        <w:spacing w:after="60" w:before="180" w:line="360" w:lineRule="auto"/>
      </w:pPr>
      <w:r>
        <w:rPr>
          <w:rFonts w:ascii="맑은 고딕" w:cs="맑은 고딕" w:eastAsia="맑은 고딕" w:hAnsi="맑은 고딕"/>
          <w:b/>
          <w:bCs/>
          <w:color w:val="2C3E50"/>
          <w:sz w:val="24"/>
          <w:szCs w:val="24"/>
        </w:rPr>
        <w:t xml:space="preserve">도출 설계 원칙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원칙 1 — 방법론의 코드화: 자연어 프롬프트 수준의 방법론은 LLM 가중치에 의해 왜곡 가능. 강제 규칙은 코드로 외부화.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원칙 2 — 경계 사례 감지: 판례 추종 규칙 적용 전, 해당 판례가 이 사건의 특수성을 상정했는지 별도 분기 확인.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원칙 3 — 측정 기준의 외재화: 방법론 개선 여부는 자기 평가가 아닌 실제 판결과의 비교로 측정.</w:t>
      </w:r>
    </w:p>
    <w:p>
      <w:pPr>
        <w:pBdr>
          <w:left w:val="single" w:color="E67E22" w:sz="14"/>
        </w:pBdr>
        <w:spacing w:after="80" w:before="80" w:line="360" w:lineRule="auto"/>
        <w:ind w:left="360"/>
      </w:pPr>
      <w:r>
        <w:rPr>
          <w:rFonts w:ascii="맑은 고딕" w:cs="맑은 고딕" w:eastAsia="맑은 고딕" w:hAnsi="맑은 고딕"/>
          <w:i/>
          <w:iCs/>
          <w:color w:val="6B4C00"/>
          <w:sz w:val="20"/>
          <w:szCs w:val="20"/>
        </w:rPr>
        <w:t xml:space="preserve">※ LogicEngine v2의 unresolved_issues 감지가 바로 이 경계 사례 인식 메커니즘이다.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pacing w:after="120" w:before="400" w:line="360" w:lineRule="auto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§5. 입법·사법·입법 순환 통합 거버넌스 비전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§5.1 순환 거버넌스 구조</w:t>
      </w:r>
    </w:p>
    <w:p>
      <w:pPr>
        <w:spacing w:after="80" w:before="80"/>
        <w:jc w:val="center"/>
      </w:pPr>
      <w:r>
        <w:drawing>
          <wp:inline distT="0" distB="0" distL="0" distR="0">
            <wp:extent cx="51435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그림 D5  입법·사법·입법 순환 통합 거버넌스 (5단계 순환, OpenHash 인프라)</w:t>
      </w:r>
    </w:p>
    <w:p>
      <w:pPr>
        <w:spacing w:after="0" w:before="40"/>
      </w:pP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통합심(K-Law)이 산출하는 판결 패턴 데이터는 법리 공백 발견과 입법 개선안 자동 생성의 원료가 된다. 이 순환 구조는 사법과 입법을 분리하는 것이 아니라 투명하게 연결하여 민주주의 원칙을 강화한다.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§5.2 해시체인 기반 분산 입법 관리 시스템</w:t>
      </w: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8"/>
        <w:gridCol w:w="40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성능 지표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168바이트 해시체인</w:t>
            </w:r>
          </w:p>
        </w:tc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374.76 TPS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모든 입법 단계 기록, 위변조 불가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PBFT 비잔틴 합의</w:t>
            </w:r>
          </w:p>
        </w:tc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155,233 TPS / 25.46mS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단일 실패점 제거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AI 이상 탐지</w:t>
            </w:r>
          </w:p>
        </w:tc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99.2% 정확도 / 0.033mS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비정상 입법 행동 실시간 탐지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전문가 차등 가중치</w:t>
            </w:r>
          </w:p>
        </w:tc>
        <w:tc>
          <w:tcPr>
            <w:tcW w:type="dxa" w:w="2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9개 지표 융합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민주성 + 전문성 동시 확보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T13  해시체인 기반 분산 입법 관리 시스템 구성 및 성능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§5.3 대법관 1,200명 선례 패널</w:t>
      </w:r>
    </w:p>
    <w:p>
      <w:pPr>
        <w:spacing w:after="80" w:before="80"/>
        <w:jc w:val="center"/>
      </w:pPr>
      <w:r>
        <w:drawing>
          <wp:inline distT="0" distB="0" distL="0" distR="0">
            <wp:extent cx="48006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그림 7  대법관 1인당 처리 건수: 현행 14인(3,000건) vs 제안 1,200명 패널(57.5건) — 52배 감소</w:t>
      </w:r>
    </w:p>
    <w:p>
      <w:pPr>
        <w:spacing w:after="0" w:before="40"/>
      </w:pP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608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분야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패널 수</w:t>
            </w:r>
          </w:p>
        </w:tc>
        <w:tc>
          <w:tcPr>
            <w:tcW w:type="dxa" w:w="4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관할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헌법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100명</w:t>
            </w:r>
          </w:p>
        </w:tc>
        <w:tc>
          <w:tcPr>
            <w:tcW w:type="dxa" w:w="4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기본권, 권력구조, 헌법 해석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민사·상사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300명</w:t>
            </w:r>
          </w:p>
        </w:tc>
        <w:tc>
          <w:tcPr>
            <w:tcW w:type="dxa" w:w="4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계약, 불법행위, 회사법, 파산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형사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200명</w:t>
            </w:r>
          </w:p>
        </w:tc>
        <w:tc>
          <w:tcPr>
            <w:tcW w:type="dxa" w:w="4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범죄 구성요건, 형사 절차, 양형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행정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150명</w:t>
            </w:r>
          </w:p>
        </w:tc>
        <w:tc>
          <w:tcPr>
            <w:tcW w:type="dxa" w:w="4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행정 처분, 국가 배상, 조세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노동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100명</w:t>
            </w:r>
          </w:p>
        </w:tc>
        <w:tc>
          <w:tcPr>
            <w:tcW w:type="dxa" w:w="4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노동 기본권, 단체교섭, 산업재해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지식재산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100명</w:t>
            </w:r>
          </w:p>
        </w:tc>
        <w:tc>
          <w:tcPr>
            <w:tcW w:type="dxa" w:w="4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특허, 저작권, AI 창작물 귀속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신기술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50명</w:t>
            </w:r>
          </w:p>
        </w:tc>
        <w:tc>
          <w:tcPr>
            <w:tcW w:type="dxa" w:w="4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AI 책임, 자율주행, 메타버스, 디지털 자산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종합·헌법위원회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100명</w:t>
            </w:r>
          </w:p>
        </w:tc>
        <w:tc>
          <w:tcPr>
            <w:tcW w:type="dxa" w:w="4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분야 간 충돌 조정, 최종 헌법 해석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1,200명</w:t>
            </w:r>
          </w:p>
        </w:tc>
        <w:tc>
          <w:tcPr>
            <w:tcW w:type="dxa" w:w="4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현행 대법관 14인 대비 86배 규모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T14  대법관 1,200명 선례 패널 분야별 구성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§5.4 국제 비교법적 맥락</w:t>
      </w: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8"/>
        <w:gridCol w:w="1600"/>
        <w:gridCol w:w="1800"/>
        <w:gridCol w:w="18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1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분산 증거 보전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AI 법리 추론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법리 오류 탐지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이관율 감축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K-Law</w:t>
            </w:r>
          </w:p>
        </w:tc>
        <w:tc>
          <w:tcPr>
            <w:tcW w:type="dxa" w:w="1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✅ PDV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✅ v7.1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✅ 96.1%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✅ 1~9%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에스토니아 X-Road</w:t>
            </w:r>
          </w:p>
        </w:tc>
        <w:tc>
          <w:tcPr>
            <w:tcW w:type="dxa" w:w="1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✅ 분산 DB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싱가포르 ODR</w:t>
            </w:r>
          </w:p>
        </w:tc>
        <w:tc>
          <w:tcPr>
            <w:tcW w:type="dxa" w:w="1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EU ODR Directive</w:t>
            </w:r>
          </w:p>
        </w:tc>
        <w:tc>
          <w:tcPr>
            <w:tcW w:type="dxa" w:w="1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T15  국제 ODR 시스템과 K-Law 기능 비교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pacing w:after="120" w:before="400" w:line="360" w:lineRule="auto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§6. 한계 및 향후 연구 과제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§6.1 한계 (8개)</w:t>
      </w: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480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한계 유형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4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해소 계획</w:t>
            </w:r>
          </w:p>
        </w:tc>
      </w:tr>
      <w:tr>
        <w:trPr>
          <w:tblHeader w:val="false"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독립 검증 진행 중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4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변호사 100명 현장 검증 병행</w:t>
            </w:r>
          </w:p>
        </w:tc>
      </w:tr>
      <w:tr>
        <w:trPr>
          <w:tblHeader w:val="false"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예방 효과 추정 불확실성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4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전향적 RCT 설계 필요</w:t>
            </w:r>
          </w:p>
        </w:tc>
      </w:tr>
      <w:tr>
        <w:trPr>
          <w:tblHeader w:val="false"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법적 효력 부재 (현 단계)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4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4단계 확산 경로 §4.4 참조</w:t>
            </w:r>
          </w:p>
        </w:tc>
      </w:tr>
      <w:tr>
        <w:trPr>
          <w:tblHeader w:val="false"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비교법적 적용 가능성 미검증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4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에스토니아·EU 협력 연구</w:t>
            </w:r>
          </w:p>
        </w:tc>
      </w:tr>
      <w:tr>
        <w:trPr>
          <w:tblHeader w:val="false"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LLM 학습 데이터 오염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4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웹 검색 금지·익명화·공리 강제</w:t>
            </w:r>
          </w:p>
        </w:tc>
      </w:tr>
      <w:tr>
        <w:trPr>
          <w:tblHeader w:val="false"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단일 서버 인프라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4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ARM 4코어 확보 후 클러스터 구성</w:t>
            </w:r>
          </w:p>
        </w:tc>
      </w:tr>
      <w:tr>
        <w:trPr>
          <w:tblHeader w:val="false"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앙상블 미탐 한계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4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인간 검토 선별 도구로 위상 명확화</w:t>
            </w:r>
          </w:p>
        </w:tc>
      </w:tr>
      <w:tr>
        <w:trPr>
          <w:tblHeader w:val="false"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N=5 비교의 탐색적 한계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48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§3.5 앙상블 정밀도 대규모 검증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T16  한계 유형·심각도·해소 계획 (v7.0 기준 8개 한계)</w:t>
      </w:r>
    </w:p>
    <w:p>
      <w:pPr>
        <w:pStyle w:val="Heading2"/>
        <w:spacing w:after="80" w:before="260" w:line="360" w:lineRule="auto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§6.2 향후 과제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변호사 100명 현장 효용성 검증 완료 (최우선) — Cohen's κ ≥ 0.61 포함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전향적 RCT 설계 — 고팡 도입 집단 vs 미도입 집단 분쟁 발생률 비교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비교법 연구 확장 — 에스토니아·싱가포르·EU 실제 기술 통합 가능성 연구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입법 관리 시스템 통합 — 해시체인 입법 관리 + 통합심 연동 프로토타입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서비스 확장 — openhash.kr HTTPS, Telegram @k_law_bot 베타 서비스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LogicEngine 감지 규칙 확장 — 대법원 종합법률정보 API 연동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앙상블 정밀도 대규모 검증 — 오탐률 &lt;10%, 미탐률 &lt;30%, 경고 적중률 &gt;60%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맑은 고딕" w:cs="맑은 고딕" w:eastAsia="맑은 고딕" w:hAnsi="맑은 고딕"/>
          <w:sz w:val="22"/>
          <w:szCs w:val="22"/>
        </w:rPr>
        <w:t xml:space="preserve">양자 내성 암호화 전환 — CRYSTALS-Dilithium 4단계 하이브리드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pacing w:after="120" w:before="400" w:line="360" w:lineRule="auto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§7. 결론</w:t>
      </w: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60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기여</w:t>
            </w:r>
          </w:p>
        </w:tc>
        <w:tc>
          <w:tcPr>
            <w:tcW w:type="dxa" w:w="5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rPr>
          <w:tblHeader w:val="false"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4자 소통 생태계 정의</w:t>
            </w:r>
          </w:p>
        </w:tc>
        <w:tc>
          <w:tcPr>
            <w:tcW w:type="dxa" w:w="5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사람·AI·기관·사물 — 고팡의 플랫폼 정체성 명시</w:t>
            </w:r>
          </w:p>
        </w:tc>
      </w:tr>
      <w:tr>
        <w:trPr>
          <w:tblHeader w:val="false"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300건 대규모 실증</w:t>
            </w:r>
          </w:p>
        </w:tc>
        <w:tc>
          <w:tcPr>
            <w:tcW w:type="dxa" w:w="5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K-Law 82.4점 vs 법원 66.5점 (t=9.70, p&lt;0.001, d=0.79). 전 분야·전 심급 일관 우위.</w:t>
            </w:r>
          </w:p>
        </w:tc>
      </w:tr>
      <w:tr>
        <w:trPr>
          <w:tblHeader w:val="false"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법조인 역할 전환 불가피</w:t>
            </w:r>
          </w:p>
        </w:tc>
        <w:tc>
          <w:tcPr>
            <w:tcW w:type="dxa" w:w="5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기능 A→B 전환. AI 기술 발전에 의한 필수 흐름.</w:t>
            </w:r>
          </w:p>
        </w:tc>
      </w:tr>
      <w:tr>
        <w:trPr>
          <w:tblHeader w:val="false"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앙상블 구현 세부 (v7.0)</w:t>
            </w:r>
          </w:p>
        </w:tc>
        <w:tc>
          <w:tcPr>
            <w:tcW w:type="dxa" w:w="560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klaw_ensemble.py Phase별 구현. 설계 이론: 논문 2 §3.6 원출처.</w:t>
            </w:r>
          </w:p>
        </w:tc>
      </w:tr>
    </w:tbl>
    <w:p>
      <w:pPr>
        <w:spacing w:after="100" w:before="60"/>
        <w:jc w:val="center"/>
      </w:pPr>
      <w:r>
        <w:rPr>
          <w:rFonts w:ascii="맑은 고딕" w:cs="맑은 고딕" w:eastAsia="맑은 고딕" w:hAnsi="맑은 고딕"/>
          <w:i/>
          <w:iCs/>
          <w:color w:val="444444"/>
          <w:sz w:val="20"/>
          <w:szCs w:val="20"/>
        </w:rPr>
        <w:t xml:space="preserve">표 T17  논문 3 v7.0 핵심 기여 4개 요약</w:t>
      </w:r>
    </w:p>
    <w:p>
      <w:pPr>
        <w:spacing w:after="0" w:before="80"/>
      </w:pPr>
    </w:p>
    <w:tbl>
      <w:tblPr>
        <w:tblW w:type="dxa" w:w="92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8"/>
      </w:tblGrid>
      <w:tr>
        <w:tc>
          <w:tcPr>
            <w:tcW w:type="dxa" w:w="9208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★ PDV는 타인의 죄를 밝히는 수단이 아니라 나의 무죄를 입증하는 수단이다.</w:t>
            </w:r>
          </w:p>
          <w:p>
            <w:pPr>
              <w:spacing w:after="40" w:before="40" w:line="3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★ 인류의 법적 지혜는 AI의 공리로 구현될 수 있다.</w:t>
            </w:r>
          </w:p>
          <w:p>
            <w:pPr>
              <w:spacing w:after="40" w:before="40" w:line="3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★ 법의 영역은 법정에서 일상으로 전환될 수 있다.</w:t>
            </w:r>
          </w:p>
          <w:p>
            <w:pPr>
              <w:spacing w:after="40" w:before="40" w:line="3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★ 그리고 이 전환은 선택이 아니라 필수이다.</w:t>
            </w:r>
          </w:p>
        </w:tc>
      </w:tr>
    </w:tbl>
    <w:p>
      <w:pPr>
        <w:spacing w:after="0" w:before="80"/>
      </w:pP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번역 고지: 본 논문은 한국어로 초안 작성되었으며, 완성 후 법학 전문 번역가에 의해 영문으로 번역하여 투고한다.</w:t>
      </w:r>
    </w:p>
    <w:p>
      <w:pPr>
        <w:pBdr>
          <w:bottom w:val="single" w:color="CCCCCC" w:sz="2"/>
        </w:pBdr>
        <w:spacing w:after="120" w:before="120"/>
      </w:pPr>
    </w:p>
    <w:p>
      <w:pPr>
        <w:pStyle w:val="Heading1"/>
        <w:spacing w:after="120" w:before="400" w:line="360" w:lineRule="auto"/>
      </w:pPr>
      <w:r>
        <w:rPr>
          <w:rFonts w:ascii="맑은 고딕" w:cs="맑은 고딕" w:eastAsia="맑은 고딕" w:hAnsi="맑은 고딕"/>
          <w:b/>
          <w:bCs/>
          <w:color w:val="2E75B6"/>
          <w:sz w:val="32"/>
          <w:szCs w:val="32"/>
        </w:rPr>
        <w:t xml:space="preserve">참고문헌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Beccaria, C. (1764). Dei delitti e delle pene.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Brown, L. (1950). Manual of preventive law. Prentice-Hall.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Castro, M., &amp; Liskov, B. (1999). Practical Byzantine fault tolerance. OSDI.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Dworkin, R. (1986). Law's empire. Harvard University Press.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European Parliament and Council. (2013). Directive 2013/11/EU on alternative dispute resolution.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Hart, H. L. A. (1961). The concept of law. Oxford University Press.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He, J., et al. (2024). AgentsCourt. arXiv preprint.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Holmes, O. W. (1897). The path of the law. Harvard Law Review, 10(8), 457–478.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Katsh, E., &amp; Rifkin, J. (2001). Online dispute resolution. Jossey-Bass.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OECD. (2023). Justice transformation framework.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Rawls, J. (1971). A theory of justice. Harvard University Press.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Sourdin, T. (2018). Judge v robot? UNSW Law Journal, 41(4), 1114–1133.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WJP. (2024). Rule of law index.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Zeleznikow, J. (2021). Can AI and ODR enhance efficiency in courts? Utrecht Law Review, 17(1), 37–54.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경찰청. (2024). 사이버범죄 통계.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대한법률구조공단. (2024). 법률서비스 이용실태 조사.</w:t>
      </w:r>
    </w:p>
    <w:p>
      <w:pPr>
        <w:spacing w:after="40" w:before="40" w:line="320" w:lineRule="auto"/>
        <w:ind w:left="480" w:hanging="480"/>
      </w:pPr>
      <w:r>
        <w:rPr>
          <w:rFonts w:ascii="맑은 고딕" w:cs="맑은 고딕" w:eastAsia="맑은 고딕" w:hAnsi="맑은 고딕"/>
          <w:sz w:val="20"/>
          <w:szCs w:val="20"/>
        </w:rPr>
        <w:t xml:space="preserve">법원행정처. (2024). 사법연감.</w:t>
      </w:r>
    </w:p>
    <w:p>
      <w:pPr>
        <w:pBdr>
          <w:bottom w:val="single" w:color="CCCCCC" w:sz="2"/>
        </w:pBdr>
        <w:spacing w:after="120" w:before="120"/>
      </w:pPr>
    </w:p>
    <w:p>
      <w:pPr>
        <w:spacing w:after="60" w:before="60" w:line="360" w:lineRule="auto"/>
        <w:jc w:val="both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면책 고지: 본 논문에 기술된 고팡·K-Law 시스템이 생성하는 판결 시뮬레이션은 어떠한 법적 효력도 갖지 않는다. 구체적인 법률 판단은 반드시 법률 전문가와 상의하십시오.</w:t>
      </w:r>
    </w:p>
    <w:p>
      <w:pPr>
        <w:spacing w:after="0" w:before="40"/>
      </w:pP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K-Law 연구그룹, AI City Inc.  |  논문 3 v7.0  |  2026년 5월</w:t>
      </w:r>
    </w:p>
    <w:sectPr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논문 3 v7.0  |  고팡·K-Law 설계·구현·사회적 파장  | 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 w:line="360" w:lineRule="auto"/>
      <w:outlineLvl w:val="0"/>
    </w:pPr>
    <w:rPr>
      <w:rFonts w:ascii="맑은 고딕" w:cs="맑은 고딕" w:eastAsia="맑은 고딕" w:hAnsi="맑은 고딕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 w:line="360" w:lineRule="auto"/>
      <w:outlineLvl w:val="1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 w:line="360" w:lineRule="auto"/>
      <w:outlineLvl w:val="2"/>
    </w:pPr>
    <w:rPr>
      <w:rFonts w:ascii="맑은 고딕" w:cs="맑은 고딕" w:eastAsia="맑은 고딕" w:hAnsi="맑은 고딕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13e8e0fa0b4fd84dd8df1589c49cc7a3769114a.undefined"/><Relationship Id="rId9" Type="http://schemas.openxmlformats.org/officeDocument/2006/relationships/image" Target="media/b62cf039fc1369917a207a0be63f6537ac1d0ccc.undefined"/><Relationship Id="rId10" Type="http://schemas.openxmlformats.org/officeDocument/2006/relationships/image" Target="media/c3aaaf20aacc9270d59528e7fb309a812ab16dc6.undefined"/><Relationship Id="rId11" Type="http://schemas.openxmlformats.org/officeDocument/2006/relationships/image" Target="media/5bdedd3ad18d21612d7bfb6ff97538f85d08445f.undefined"/><Relationship Id="rId12" Type="http://schemas.openxmlformats.org/officeDocument/2006/relationships/image" Target="media/9edf76d3f8003f4402090347d93e5afcef6a0d02.undefined"/><Relationship Id="rId13" Type="http://schemas.openxmlformats.org/officeDocument/2006/relationships/image" Target="media/5dbb15898ef7ed09874ff88659e6613eccaae0b1.undefined"/><Relationship Id="rId14" Type="http://schemas.openxmlformats.org/officeDocument/2006/relationships/image" Target="media/0336c8d899510b3fc4ef165bc4bce6e8db23f382.undefined"/><Relationship Id="rId15" Type="http://schemas.openxmlformats.org/officeDocument/2006/relationships/image" Target="media/7ec2260ab43d13283c47fd7baf11673218c3ecd9.undefined"/><Relationship Id="rId16" Type="http://schemas.openxmlformats.org/officeDocument/2006/relationships/image" Target="media/98da541fcd420070502a971d0f92c43f6e677602.undefined"/><Relationship Id="rId17" Type="http://schemas.openxmlformats.org/officeDocument/2006/relationships/image" Target="media/2c231a4800d2daf1712c2223051ad0db885c71e6.undefined"/><Relationship Id="rId18" Type="http://schemas.openxmlformats.org/officeDocument/2006/relationships/image" Target="media/991a0b127e2918306e66e80091beebba981f54ff.undefined"/><Relationship Id="rId19" Type="http://schemas.openxmlformats.org/officeDocument/2006/relationships/image" Target="media/d37bdbd49de50a5b100199014fcffed899d81710.undefined"/><Relationship Id="rId20" Type="http://schemas.openxmlformats.org/officeDocument/2006/relationships/image" Target="media/673e7887da7703ea21a5c880c5900c3176443764.undefined"/><Relationship Id="rId21" Type="http://schemas.openxmlformats.org/officeDocument/2006/relationships/image" Target="media/710dccf4c6d214b640d6a76e5dfbfd2417d08e5f.undefined"/><Relationship Id="rId22" Type="http://schemas.openxmlformats.org/officeDocument/2006/relationships/image" Target="media/cc642fe4378bb4ef1a9b728c7786cd18fca10616.undefined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2026-05-16T02:53:29.575Z</dcterms:created>
  <dcterms:modified xsi:type="dcterms:W3CDTF">2026-05-16T02:53:29.591Z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