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Malgun Gothic" w:cs="Malgun Gothic" w:eastAsia="Malgun Gothic" w:hAnsi="Malgun Gothic"/>
          <w:b/>
          <w:bCs/>
          <w:color w:val="888888"/>
          <w:sz w:val="28"/>
          <w:szCs w:val="28"/>
        </w:rPr>
        <w:t xml:space="preserve">논문 4</w:t>
      </w:r>
    </w:p>
    <w:p>
      <w:pPr>
        <w:spacing w:after="200" w:before="100"/>
        <w:jc w:val="center"/>
      </w:pPr>
      <w:r>
        <w:rPr>
          <w:rFonts w:ascii="Malgun Gothic" w:cs="Malgun Gothic" w:eastAsia="Malgun Gothic" w:hAnsi="Malgun Gothic"/>
          <w:b/>
          <w:bCs/>
          <w:color w:val="1F3864"/>
          <w:sz w:val="36"/>
          <w:szCs w:val="36"/>
        </w:rPr>
        <w:t xml:space="preserve">K-Law 가상 판결 생성 파이프라인의 설계·구현 및
22회차 종단 평가 실험</w:t>
      </w:r>
    </w:p>
    <w:p>
      <w:pPr>
        <w:spacing w:after="80" w:before="80"/>
        <w:jc w:val="center"/>
      </w:pPr>
      <w:r>
        <w:rPr>
          <w:rFonts w:ascii="Malgun Gothic" w:cs="Malgun Gothic" w:eastAsia="Malgun Gothic" w:hAnsi="Malgun Gothic"/>
          <w:i/>
          <w:iCs/>
          <w:color w:val="444444"/>
          <w:sz w:val="24"/>
          <w:szCs w:val="24"/>
        </w:rPr>
        <w:t xml:space="preserve">K-Law Virtual Verdict Generation Pipeline: Design, Implementation
and Longitudinal Evaluation Across 22 Iterative Rounds</w:t>
      </w:r>
    </w:p>
    <w:p>
      <w:pPr>
        <w:spacing w:after="120" w:before="200"/>
        <w:jc w:val="center"/>
      </w:pPr>
      <w:r>
        <w:rPr>
          <w:rFonts w:ascii="Malgun Gothic" w:cs="Malgun Gothic" w:eastAsia="Malgun Gothic" w:hAnsi="Malgun Gothic"/>
          <w:sz w:val="22"/>
          <w:szCs w:val="22"/>
        </w:rPr>
        <w:t xml:space="preserve">저자: [저자명]  |  소속: K-Law 연구그룹, AI City Inc.</w:t>
      </w:r>
    </w:p>
    <w:p>
      <w:pPr>
        <w:spacing w:after="600" w:before="60"/>
        <w:jc w:val="center"/>
      </w:pPr>
      <w:r>
        <w:rPr>
          <w:rFonts w:ascii="Malgun Gothic" w:cs="Malgun Gothic" w:eastAsia="Malgun Gothic" w:hAnsi="Malgun Gothic"/>
          <w:color w:val="666666"/>
          <w:sz w:val="20"/>
          <w:szCs w:val="20"/>
        </w:rPr>
        <w:t xml:space="preserve">버전: 1.0  |  작성일: 2026년 5월 15일  |  투고 목표: Artificial Intelligence and Law (Springer)</w:t>
      </w:r>
    </w:p>
    <w:p>
      <w:pPr>
        <w:pBdr>
          <w:bottom w:val="single" w:color="2E75B6" w:sz="6"/>
        </w:pBdr>
      </w:pPr>
    </w:p>
    <w:p>
      <w:pPr>
        <w:spacing w:after="60" w:before="60"/>
      </w:pPr>
      <w:r>
        <w:t xml:space="preserve"/>
      </w:r>
    </w:p>
    <w:p>
      <w:pPr>
        <w:pStyle w:val="Heading1"/>
        <w:spacing w:after="200" w:before="400"/>
      </w:pPr>
      <w:r>
        <w:rPr>
          <w:rFonts w:ascii="Malgun Gothic" w:cs="Malgun Gothic" w:eastAsia="Malgun Gothic" w:hAnsi="Malgun Gothic"/>
          <w:b/>
          <w:bCs/>
          <w:color w:val="1F3864"/>
          <w:sz w:val="32"/>
          <w:szCs w:val="32"/>
        </w:rPr>
        <w:t xml:space="preserve">초록 / Abstract</w:t>
      </w:r>
    </w:p>
    <w:p>
      <w:pPr>
        <w:spacing w:after="80" w:before="80"/>
        <w:ind w:left="0"/>
        <w:jc w:val="both"/>
      </w:pPr>
      <w:r>
        <w:rPr>
          <w:rFonts w:ascii="Malgun Gothic" w:cs="Malgun Gothic" w:eastAsia="Malgun Gothic" w:hAnsi="Malgun Gothic"/>
          <w:sz w:val="22"/>
          <w:szCs w:val="22"/>
        </w:rPr>
        <w:t xml:space="preserve">[배경]  K-Law 가상 판결 시스템은 대법원 판결문 요약본을 입력으로 받아 DeepSeek API를 통해 완전한 판결문 형태의 가상 판결을 자동 생성하는 법률 AI 파이프라인이다. 기존 논문 1~3은 이 시스템의 이론적 기반(예방 법학, 공리 체계), 평가 방법론(v7.1), 실증 결과(N=300) 및 사회적 파장을 다루었으나, 파이프라인 자체의 설계·구현 상세와 22회차에 걸친 종단 실험 데이터를 독립적으로 보고한 연구는 존재하지 않는다.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[목적]  본 논문은 세 가지 목표를 갖는다. 첫째, K-Law 가상 판결 생성 파이프라인(run_verdicts.py → klaw_ensemble.py → evaluate_verdicts.py)의 설계 원리와 구현 세부 사항을 공개한다. 둘째, K-Law 방법론 v14.3에서 v14.9에 이르는 22회차 종단 평가 실험 결과를 정량적으로 보고한다. 셋째, 방법론 갱신과 평균 점수 변화 사이에서 발견된 '측정 역설'을 분석하고 그 구조적 원인을 규명한다.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[방법]  대법원 판결문 350건을 대상으로 20건 단위 배치 처리 방식을 적용하여 총 22회차에 걸쳐 가상 판결을 생성하고 평가하였다. 각 배치 완료 후 자동 생성된 방법론 갱신 제안서(renewal_proposal)를 분석하여 K-Law 방법론 v14.3에서 v14.9까지 9개 버전을 순차 갱신하였다. 방법론 갱신 효과는 회차별 평균 점수(재평가 대상 포함/제외), 결론 역전율, 등급 분포로 측정하였다.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[결과]  합격 사건(7점 이상)만의 평균은 9.57/10으로 전 회차 일정하게 유지되었다. 재평가 대상 포함 시 전체 평균은 7.39/10이었으나, 회차별 편차가 컸다(최고 9.80점 6회차, 최저 5.11점 14회차). 점수 분포는 0~3점 저득점층 약 20%와 8~10점 고득점층 약 55%로 양극화되었다. 웹 수동 입력 85% 대 API 자동 처리 65%의 성능 차이가 확인되었으며, 그 원인은 max_tokens 제약(8,000 → 16,000으로 개선)과 Lost in the Middle 현상으로 규명되었다.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[결론]  본 연구는 다섯 가지 기여를 한다. 첫째, K-Law 파이프라인의 상세 구현을 최초로 공개하여 재현 가능성을 확보한다. 둘째, 방법론 갱신이 평균 점수를 직접 낮추는 것이 아니라 재평가 대상 사건의 희석 효과가 원인임을 실증적으로 분리한다. 셋째, 자동화된 방법론 갱신 시스템(평가 → 제안서 생성 → 갱신 → 재평가)이 법률 AI 품질 관리에 적용 가능함을 실증한다. 넷째, K-Law 파이프라인이 작동하는 상위 생태계(고팡 × K-Law 3계층: 1차 예방 90% → 2차 AI 중재 9% → 3차 인간 법원 이관 1%)를 제시하고, 고팡 PDV 연계 시 K-Law 대법원 일치도가 99.9% 이상으로 극대화되는 구조를 논증한다. 다섯째, DeepSeek v4 Pro 기반 350건 실험의 실제 비용($30, 사건당 약 120원)을 공개하고, 최고 성능 모델 전환 시 비용·성능 추정을 제시한다.</w:t>
      </w:r>
    </w:p>
    <w:p>
      <w:pPr>
        <w:spacing w:after="60" w:before="60"/>
      </w:pPr>
      <w:r>
        <w:t xml:space="preserve"/>
      </w:r>
    </w:p>
    <w:p>
      <w:pPr>
        <w:spacing w:after="80" w:before="80"/>
        <w:ind w:left="0"/>
        <w:jc w:val="both"/>
      </w:pPr>
      <w:r>
        <w:rPr>
          <w:rFonts w:ascii="Malgun Gothic" w:cs="Malgun Gothic" w:eastAsia="Malgun Gothic" w:hAnsi="Malgun Gothic"/>
          <w:i/>
          <w:iCs/>
          <w:sz w:val="22"/>
          <w:szCs w:val="22"/>
        </w:rPr>
        <w:t xml:space="preserve">[핵심어]  가상 판결 생성, K-Law 방법론, 종단 평가, 방법론 갱신 자동화, 앙상블 검증, LogicEngine, 결론 역전율, 양극화 분포, Lost in the Middle, max_tokens, DeepSeek API, 고팡, PDV, OpenHash, 3계층 분쟁 해결, 예방 법학</w:t>
      </w:r>
    </w:p>
    <w:p>
      <w:pPr>
        <w:spacing w:after="60" w:before="60"/>
      </w:pPr>
      <w:r>
        <w:t xml:space="preserve"/>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1. 서론</w:t>
      </w:r>
    </w:p>
    <w:p>
      <w:pPr>
        <w:pStyle w:val="Heading2"/>
        <w:spacing w:after="160" w:before="300"/>
      </w:pPr>
      <w:r>
        <w:rPr>
          <w:rFonts w:ascii="Malgun Gothic" w:cs="Malgun Gothic" w:eastAsia="Malgun Gothic" w:hAnsi="Malgun Gothic"/>
          <w:b/>
          <w:bCs/>
          <w:color w:val="2E75B6"/>
          <w:sz w:val="28"/>
          <w:szCs w:val="28"/>
        </w:rPr>
        <w:t xml:space="preserve">1.1 논문 4의 위치와 범위</w:t>
      </w:r>
    </w:p>
    <w:p>
      <w:pPr>
        <w:spacing w:after="80" w:before="80"/>
        <w:ind w:left="0"/>
        <w:jc w:val="both"/>
      </w:pPr>
      <w:r>
        <w:rPr>
          <w:rFonts w:ascii="Malgun Gothic" w:cs="Malgun Gothic" w:eastAsia="Malgun Gothic" w:hAnsi="Malgun Gothic"/>
          <w:sz w:val="22"/>
          <w:szCs w:val="22"/>
        </w:rPr>
        <w:t xml:space="preserve">K-Law 연구 계층(논문 1~4)에서 본 논문은 계층 3에 위치한다. 논문 1은 예방 법학의 이론적 기반을 제공하고, 논문 2는 v7.1 평가 방법론과 실증 사례를, 논문 3은 고팡·K-Law 시스템의 구현과 사회적 파장을 다룬다. 논문 4는 이 세 논문이 공통적으로 전제하는 가상 판결 생성 파이프라인 자체를 연구 대상으로 삼는다.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구체적으로, 본 논문이 다루는 내용은 다음과 같다. (1) run_verdicts.py, klaw_ensemble.py, evaluate_verdicts.py, run_and_evaluate.py로 구성된 파이프라인의 설계 원리와 코드 수준 구현 상세. (2) K-Law 방법론 v14.3에서 v14.9까지의 갱신 이력과 각 버전에서 도입된 핵심 강제규칙·공리의 내용. (3) 22회차에 걸친 종단 평가 실험의 정량 데이터. (4) 방법론 갱신과 성능 지표 사이에서 발견된 역설적 패턴의 원인 분석.</w:t>
      </w:r>
    </w:p>
    <w:p>
      <w:pPr>
        <w:pStyle w:val="Heading2"/>
        <w:spacing w:after="160" w:before="300"/>
      </w:pPr>
      <w:r>
        <w:rPr>
          <w:rFonts w:ascii="Malgun Gothic" w:cs="Malgun Gothic" w:eastAsia="Malgun Gothic" w:hAnsi="Malgun Gothic"/>
          <w:b/>
          <w:bCs/>
          <w:color w:val="2E75B6"/>
          <w:sz w:val="28"/>
          <w:szCs w:val="28"/>
        </w:rPr>
        <w:t xml:space="preserve">1.2 연구 질문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500"/>
        <w:gridCol w:w="800"/>
      </w:tblGrid>
      <w:tr>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RQ</w:t>
            </w:r>
          </w:p>
        </w:tc>
        <w:tc>
          <w:tcPr>
            <w:tcW w:type="dxa" w:w="4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연구 질문</w:t>
            </w:r>
          </w:p>
        </w:tc>
        <w:tc>
          <w:tcPr>
            <w:tcW w:type="dxa" w:w="1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대응 절</w:t>
            </w:r>
          </w:p>
        </w:tc>
        <w:tc>
          <w:tcPr>
            <w:tcW w:type="dxa" w:w="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신규</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RQ1</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가상 판결 생성 파이프라인의 최적 설계는 무엇인가? 단일 호출 대 다단계 분리 호출의 품질·비용 트레이드오프는?</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RQ2</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웹 수동 입력과 API 자동 처리 사이의 성능 차이(85% vs 65%)의 원인은 무엇인가?</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§4</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RQ3</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K-Law 방법론 갱신은 평가 점수에 어떤 영향을 미치는가? 방법론 갱신이 평균 점수를 낮추는 역설은 왜 발생하는가?</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RQ4</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자동화된 방법론 갱신 시스템(평가→제안서→갱신→재평가)은 법률 AI 품질 관리에 유효한가?</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r>
    </w:tbl>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2. 배경 및 기존 논문과의 관계</w:t>
      </w:r>
    </w:p>
    <w:p>
      <w:pPr>
        <w:pStyle w:val="Heading2"/>
        <w:spacing w:after="160" w:before="300"/>
      </w:pPr>
      <w:r>
        <w:rPr>
          <w:rFonts w:ascii="Malgun Gothic" w:cs="Malgun Gothic" w:eastAsia="Malgun Gothic" w:hAnsi="Malgun Gothic"/>
          <w:b/>
          <w:bCs/>
          <w:color w:val="2E75B6"/>
          <w:sz w:val="28"/>
          <w:szCs w:val="28"/>
        </w:rPr>
        <w:t xml:space="preserve">2.1 기존 논문과의 비중복 범위 명시</w:t>
      </w:r>
    </w:p>
    <w:p>
      <w:pPr>
        <w:spacing w:after="80" w:before="80"/>
        <w:ind w:left="0"/>
        <w:jc w:val="both"/>
      </w:pPr>
      <w:r>
        <w:rPr>
          <w:rFonts w:ascii="Malgun Gothic" w:cs="Malgun Gothic" w:eastAsia="Malgun Gothic" w:hAnsi="Malgun Gothic"/>
          <w:sz w:val="22"/>
          <w:szCs w:val="22"/>
        </w:rPr>
        <w:t xml:space="preserve">논문 1~3과의 중복을 방지하기 위해 본 논문의 독점 범위를 명확히 한다.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600"/>
      </w:tblGrid>
      <w:tr>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주제</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논문 1</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논문 2</w:t>
            </w:r>
          </w:p>
        </w:tc>
        <w:tc>
          <w:tcPr>
            <w:tcW w:type="dxa" w:w="13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논문 3</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논문 4 (본)</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예방 법학 이론 / 공리 체계</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참조</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참조</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참조만</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v7.1 평가 방법론 설계</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참조</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참조만</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고팡 시스템 아키텍처</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참조만</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판결 생성 파이프라인 코드 설계</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 ★</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K-Law 방법론 v14.x 갱신 이력</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 ★</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22회차 종단 평가 실험 데이터</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 ★</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웹 vs API 성능 비교 실험</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 ★</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측정 역설 원인 분석</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독점 ★</w:t>
            </w:r>
          </w:p>
        </w:tc>
      </w:tr>
    </w:tbl>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2.2 DeepSeek 모델과 Thinking 모드</w:t>
      </w:r>
    </w:p>
    <w:p>
      <w:pPr>
        <w:spacing w:after="80" w:before="80"/>
        <w:ind w:left="0"/>
        <w:jc w:val="both"/>
      </w:pPr>
      <w:r>
        <w:rPr>
          <w:rFonts w:ascii="Malgun Gothic" w:cs="Malgun Gothic" w:eastAsia="Malgun Gothic" w:hAnsi="Malgun Gothic"/>
          <w:sz w:val="22"/>
          <w:szCs w:val="22"/>
        </w:rPr>
        <w:t xml:space="preserve">본 파이프라인은 판결 생성에 deepseek-v4-pro(deepseek-reasoner 계열) 모델을 사용한다. 이 모델은 항상 thinking 모드로 동작하며, 실제 판결 내용은 content 필드가 아닌 reasoning_content 필드에 위치한다. 따라서 API 호출 시 반드시 thinking_content를 추출하는 별도 로직이 필요하며, content 필드만 읽는 경우 판단자 호출 시 빈 응답을 받게 된다.</w:t>
      </w:r>
    </w:p>
    <w:p>
      <w:pPr>
        <w:spacing w:after="80" w:before="80"/>
        <w:ind w:left="0"/>
        <w:jc w:val="both"/>
      </w:pPr>
      <w:r>
        <w:rPr>
          <w:rFonts w:ascii="Malgun Gothic" w:cs="Malgun Gothic" w:eastAsia="Malgun Gothic" w:hAnsi="Malgun Gothic"/>
          <w:sz w:val="22"/>
          <w:szCs w:val="22"/>
        </w:rPr>
        <w:t xml:space="preserve">이 특성은 klaw_ensemble.py의 판단자 호출(_call_judge())에서 명시적으로 처리된다. 판단자에 대해서는 "thinking: disabled" 파라미터를 추가하여 JSON 형식의 간결한 응답을 확보한다. 이 설계 결정은 v14.4에서 발견된 content 공백 버그의 수정 과정에서 도출되었다.</w:t>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3. K-Law 가상 판결 생성 파이프라인 설계 및 구현</w:t>
      </w:r>
    </w:p>
    <w:p>
      <w:pPr>
        <w:pStyle w:val="Heading2"/>
        <w:spacing w:after="160" w:before="300"/>
      </w:pPr>
      <w:r>
        <w:rPr>
          <w:rFonts w:ascii="Malgun Gothic" w:cs="Malgun Gothic" w:eastAsia="Malgun Gothic" w:hAnsi="Malgun Gothic"/>
          <w:b/>
          <w:bCs/>
          <w:color w:val="2E75B6"/>
          <w:sz w:val="28"/>
          <w:szCs w:val="28"/>
        </w:rPr>
        <w:t xml:space="preserve">3.1 전체 파이프라인 구조</w:t>
      </w:r>
    </w:p>
    <w:p>
      <w:pPr>
        <w:spacing w:after="80" w:before="80"/>
        <w:ind w:left="0"/>
        <w:jc w:val="both"/>
      </w:pPr>
      <w:r>
        <w:rPr>
          <w:rFonts w:ascii="Malgun Gothic" w:cs="Malgun Gothic" w:eastAsia="Malgun Gothic" w:hAnsi="Malgun Gothic"/>
          <w:sz w:val="22"/>
          <w:szCs w:val="22"/>
        </w:rPr>
        <w:t xml:space="preserve">K-Law 가상 판결 생성 시스템은 네 개의 Python 스크립트로 구성된다.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모듈</w:t>
            </w:r>
          </w:p>
        </w:tc>
        <w:tc>
          <w:tcPr>
            <w:tcW w:type="dxa" w:w="4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역할</w:t>
            </w:r>
          </w:p>
        </w:tc>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핵심 의존</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run_verdicts.py</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판결 생성 오케스트레이터: 미완료 사건 탐지 → 배치 처리 → 버전 갱신 감지</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klaw_ensemble.py, progress.json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klaw_ensemble.py</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앙상블 검증: Phase 2(LogicEngine) + Phase 3(DeepSeek 판단자) 3단계</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DeepSeek API, CONFIDENCE_RE, RISK_RE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evaluate_verdicts.py</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평가 오케스트레이터: 판결문 평가 → 점수 저장 → 회차 관리 → 제안서 생성</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DeepSeek API, eval_progress.json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run_and_evaluate.py</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통합 실행: 20건 생성 → 20건 평가 → 회차 bump → 반복</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run_verdicts.py, evaluate_verdicts.py</w:t>
            </w:r>
          </w:p>
        </w:tc>
      </w:tr>
    </w:tbl>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파이프라인의 실행 흐름은 다음과 같다: (1) run_verdicts.py가 progress.json을 읽어 미완료 사건을 탐지한다. (2) ThreadPoolExecutor를 통해 워커 10개가 병렬로 각 사건의 판결을 생성한다. (3) 각 판결은 자기검토(self_review), 앙상블 검증(klaw_ensemble.ensemble_validate())을 순차 통과한다. (4) 배치(20건) 완료 시 klaw_v*.md 파일을 탐색하여 상위 버전이 존재하면 자동으로 K-Law 방법론을 갱신한다. (5) evaluate_verdicts.py가 verdicts/ 폴더의 판결문을 평가하여 scores/ 폴더에 저장하고 renewal_proposal_*.txt를 생성한다.</w:t>
      </w:r>
    </w:p>
    <w:p>
      <w:pPr>
        <w:pStyle w:val="Heading2"/>
        <w:spacing w:after="160" w:before="300"/>
      </w:pPr>
      <w:r>
        <w:rPr>
          <w:rFonts w:ascii="Malgun Gothic" w:cs="Malgun Gothic" w:eastAsia="Malgun Gothic" w:hAnsi="Malgun Gothic"/>
          <w:b/>
          <w:bCs/>
          <w:color w:val="2E75B6"/>
          <w:sz w:val="28"/>
          <w:szCs w:val="28"/>
        </w:rPr>
        <w:t xml:space="preserve">3.2 앙상블 검증 아키텍처 (klaw_ensemble.py)</w:t>
      </w:r>
    </w:p>
    <w:p>
      <w:pPr>
        <w:spacing w:after="80" w:before="80"/>
        <w:ind w:left="0"/>
        <w:jc w:val="both"/>
      </w:pPr>
      <w:r>
        <w:rPr>
          <w:rFonts w:ascii="Malgun Gothic" w:cs="Malgun Gothic" w:eastAsia="Malgun Gothic" w:hAnsi="Malgun Gothic"/>
          <w:sz w:val="22"/>
          <w:szCs w:val="22"/>
        </w:rPr>
        <w:t xml:space="preserve">앙상블 검증은 논문 2의 §3.6에서 개요를 설명한 결론 분리 3단계 아키텍처의 구현체이다. 본 논문은 코드 수준 구현을 처음으로 공개한다.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Phase 1 — 판결 생성: call_deepseek()가 K-Law 방법론 전문(~134KB)을 시스템 프롬프트로, 사건 요약본을 사용자 프롬프트로 전달하여 판결문을 생성한다. max_tokens=16,000(v14.4 이후), timeout=180초.</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Phase 2 — LogicEngine(비LLM 편향 감지): 순수 정규식 패턴 매칭으로 결론 방향, 확신도, 위험도, 판단 일관성 지수(DI), A-0-S 존재 여부를 파싱한다. LLM을 사용하지 않으므로 동일 가중치 편향이 개입하지 않는다. confidence &lt; 0인 경우 0으로 정규화한다(v14.9 수정).</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Phase 3 — DeepSeek 판단자: thinking: disabled 파라미터로 JSON 응답을 확보한다. LogicEngine 출력을 입력으로 받아 신뢰/주의/경고를 판정하고, 재생성 여부를 결정한다. 판단자는 생성자와 동일한 deepseek-v4-pro 모델이지만, thinking 비활성화로 응답 패턴이 분리된다.</w:t>
      </w:r>
    </w:p>
    <w:p>
      <w:pPr>
        <w:pStyle w:val="Heading2"/>
        <w:spacing w:after="160" w:before="300"/>
      </w:pPr>
      <w:r>
        <w:rPr>
          <w:rFonts w:ascii="Malgun Gothic" w:cs="Malgun Gothic" w:eastAsia="Malgun Gothic" w:hAnsi="Malgun Gothic"/>
          <w:b/>
          <w:bCs/>
          <w:color w:val="2E75B6"/>
          <w:sz w:val="28"/>
          <w:szCs w:val="28"/>
        </w:rPr>
        <w:t xml:space="preserve">3.3 방법론 자동 갱신 메커니즘</w:t>
      </w:r>
    </w:p>
    <w:p>
      <w:pPr>
        <w:spacing w:after="80" w:before="80"/>
        <w:ind w:left="0"/>
        <w:jc w:val="both"/>
      </w:pPr>
      <w:r>
        <w:rPr>
          <w:rFonts w:ascii="Malgun Gothic" w:cs="Malgun Gothic" w:eastAsia="Malgun Gothic" w:hAnsi="Malgun Gothic"/>
          <w:sz w:val="22"/>
          <w:szCs w:val="22"/>
        </w:rPr>
        <w:t xml:space="preserve">각 배치(20건) 완료 시 run_verdicts.py의 prompt_version_update()가 호출된다. 이 함수는 BASE_DIR에서 klaw_v*.md 파일을 탐색하여 find_next_version()으로 현재 버전보다 높은 최소 버전을 찾는다. 새 버전 파일이 존재하면 progress.json의 klaw_version을 갱신하고, 이후 배치부터 새 방법론이 적용된다.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이 설계는 사용자가 renewal_proposal_*.txt를 검토하고 새로운 klaw_v*.md 파일을 작성하여 case_summary/ 디렉토리에 저장하면, 다음 배치부터 자동으로 적용되는 구조다. Enter 키를 누르는 시점이 사람의 개입점이며, 완전 자동화(run_and_evaluate.py)에서는 이 단계도 자동화된다.</w:t>
      </w:r>
    </w:p>
    <w:p>
      <w:pPr>
        <w:pStyle w:val="Heading2"/>
        <w:spacing w:after="160" w:before="300"/>
      </w:pPr>
      <w:r>
        <w:rPr>
          <w:rFonts w:ascii="Malgun Gothic" w:cs="Malgun Gothic" w:eastAsia="Malgun Gothic" w:hAnsi="Malgun Gothic"/>
          <w:b/>
          <w:bCs/>
          <w:color w:val="2E75B6"/>
          <w:sz w:val="28"/>
          <w:szCs w:val="28"/>
        </w:rPr>
        <w:t xml:space="preserve">3.4 단일 호출 vs 다단계 분리 호출 설계 결정</w:t>
      </w:r>
    </w:p>
    <w:p>
      <w:pPr>
        <w:spacing w:after="80" w:before="80"/>
        <w:ind w:left="0"/>
        <w:jc w:val="both"/>
      </w:pPr>
      <w:r>
        <w:rPr>
          <w:rFonts w:ascii="Malgun Gothic" w:cs="Malgun Gothic" w:eastAsia="Malgun Gothic" w:hAnsi="Malgun Gothic"/>
          <w:sz w:val="22"/>
          <w:szCs w:val="22"/>
        </w:rPr>
        <w:t xml:space="preserve">파이프라인 설계 과정에서 핵심 설계 결정은 판결 생성 방식이었다. 두 방안이 검토되었다.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200"/>
      </w:tblGrid>
      <w:tr>
        <w:tc>
          <w:tcPr>
            <w:tcW w:type="dxa" w:w="1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방안</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설명</w:t>
            </w:r>
          </w:p>
        </w:tc>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장점</w:t>
            </w:r>
          </w:p>
        </w:tc>
        <w:tc>
          <w:tcPr>
            <w:tcW w:type="dxa" w:w="2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단점</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방안 1 (채택)
단일 호출</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1회 API 호출로 STEP 0→A→B→C 전체 생성. 현재 구현</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비용 절감, 속도 우위, 맥락 일관성</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토큰 압박으로 A-0-S/B-5 생략 발생. max_tokens 제약</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방안 2+4
다단계 분리</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STEP별 별도 API 호출. klaw_steps.py 구현(2026.05.31 이후 전환 예정)</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각 STEP 완전 수행 보장, A-0-S 강제</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비용 3~5배 증가, 속도 저하</w:t>
            </w:r>
          </w:p>
        </w:tc>
      </w:tr>
    </w:tbl>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방안 1이 현재 구현으로 채택된 이유는 비용 효율성이다. 방안 2+4는 STEP별 완전 수행을 보장하지만 API 호출 횟수가 3~5배 증가한다. 단기 해결책으로 max_tokens를 8,000에서 16,000으로 두 배 증가(v14.4 이후)하여 토큰 압박을 완화하였다. 2026년 5월 31일 이후 방안 2+4로 전환할 계획이다.</w:t>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4. 웹 수동 입력 vs API 자동 처리 성능 비교 실험</w:t>
      </w:r>
    </w:p>
    <w:p>
      <w:pPr>
        <w:pStyle w:val="Heading2"/>
        <w:spacing w:after="160" w:before="300"/>
      </w:pPr>
      <w:r>
        <w:rPr>
          <w:rFonts w:ascii="Malgun Gothic" w:cs="Malgun Gothic" w:eastAsia="Malgun Gothic" w:hAnsi="Malgun Gothic"/>
          <w:b/>
          <w:bCs/>
          <w:color w:val="2E75B6"/>
          <w:sz w:val="28"/>
          <w:szCs w:val="28"/>
        </w:rPr>
        <w:t xml:space="preserve">4.1 실험 설계</w:t>
      </w:r>
    </w:p>
    <w:p>
      <w:pPr>
        <w:spacing w:after="80" w:before="80"/>
        <w:ind w:left="0"/>
        <w:jc w:val="both"/>
      </w:pPr>
      <w:r>
        <w:rPr>
          <w:rFonts w:ascii="Malgun Gothic" w:cs="Malgun Gothic" w:eastAsia="Malgun Gothic" w:hAnsi="Malgun Gothic"/>
          <w:sz w:val="22"/>
          <w:szCs w:val="22"/>
        </w:rPr>
        <w:t xml:space="preserve">동일한 K-Law 방법론과 DeepSeek 모델을 사용하여 두 가지 입력 방식을 비교하였다. 웹 수동 입력은 DeepSeek 웹 인터페이스에서 사건 개요, 출력 형식, 방법론을 순차적으로 3회 입력하는 방식으로 50건을 처리하였다. API 자동 처리는 run_verdicts.py를 통해 20건씩 병렬 배치 처리하는 방식으로 100건을 처리하였다.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구분</w:t>
            </w:r>
          </w:p>
        </w:tc>
        <w:tc>
          <w:tcPr>
            <w:tcW w:type="dxa" w:w="3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웹 수동 입력</w:t>
            </w:r>
          </w:p>
        </w:tc>
        <w:tc>
          <w:tcPr>
            <w:tcW w:type="dxa" w:w="35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API 자동 처리</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표본 크기</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50건</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100건</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입력 방식</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사건 개요 → 출력 형식 → 방법론 순차 3회 입력</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시스템 프롬프트(방법론 134KB) + 사용자 프롬프트(요약본)</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모델</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deepseek-v4-pro (웹 기본 설정)</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deepseek-v4-pro (max_tokens=8,000)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대법원 일치도</w:t>
            </w:r>
          </w:p>
        </w:tc>
        <w:tc>
          <w:tcPr>
            <w:tcW w:type="dxa" w:w="35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85%</w:t>
            </w:r>
          </w:p>
        </w:tc>
        <w:tc>
          <w:tcPr>
            <w:tcW w:type="dxa" w:w="350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65%</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성능 차이</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기준</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-20%p</w:t>
            </w:r>
          </w:p>
        </w:tc>
      </w:tr>
    </w:tbl>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4.2 성능 차이 원인 분석</w:t>
      </w:r>
    </w:p>
    <w:p>
      <w:pPr>
        <w:spacing w:after="80" w:before="80"/>
        <w:ind w:left="0"/>
        <w:jc w:val="both"/>
      </w:pPr>
      <w:r>
        <w:rPr>
          <w:rFonts w:ascii="Malgun Gothic" w:cs="Malgun Gothic" w:eastAsia="Malgun Gothic" w:hAnsi="Malgun Gothic"/>
          <w:sz w:val="22"/>
          <w:szCs w:val="22"/>
        </w:rPr>
        <w:t xml:space="preserve">20%p의 성능 차이에 대한 원인을 세 가지 가설로 분석하였다.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가설 A (확신도 70%): Thinking 토큰 예산 차이. 웹 인터페이스는 thinking 토큰을 제한 없이 사용하나, API는 max_tokens 제약으로 thinking이 중단된다. 이는 STEP A-0-S, B-5-A/B/C의 생략을 유발한다. max_tokens를 8,000에서 16,000으로 증가시킨 후 API 성능이 개선됨으로써 이 가설이 지지된다.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가설 B (확신도 65%): Lost in the Middle 현상. 웹 수동 입력에서는 방법론을 마지막에 별도 입력하므로 LLM의 어텐션이 집중된다. 반면 API 시스템 프롬프트의 134KB 방법론 문서에서 중간 섹션(공리 B~H, STEP B-3~B-6)의 내용이 희석된다. 웹 입력의 순차 3회 입력이 각 문서를 "가장 앞이자 가장 뒤"로 처리하게 만드는 구조적 이점이다.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가설 C (확신도 40%): 자기검토 품질 차이. 웹에서는 사람이 출력을 보고 불완전한 경우 재요청하지만, API는 self_review()에 의존한다. 그러나 self_review() 역시 동일한 LLM 호출을 사용하므로 이중 편향이 발생할 가능성이 있다.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가설 A와 B의 복합 작용이 가장 유력한 설명이다. 이는 max_tokens 증가가 부분적 해결책임을 시사하며, 완전한 해결을 위해서는 방안 2+4(단계별 분리 호출)로의 전환이 필요하다.</w:t>
      </w:r>
    </w:p>
    <w:p>
      <w:pPr>
        <w:pStyle w:val="Heading2"/>
        <w:spacing w:after="160" w:before="300"/>
      </w:pPr>
      <w:r>
        <w:rPr>
          <w:rFonts w:ascii="Malgun Gothic" w:cs="Malgun Gothic" w:eastAsia="Malgun Gothic" w:hAnsi="Malgun Gothic"/>
          <w:b/>
          <w:bCs/>
          <w:color w:val="2E75B6"/>
          <w:sz w:val="28"/>
          <w:szCs w:val="28"/>
        </w:rPr>
        <w:t xml:space="preserve">4.3 중요한 오해 수정: API 방식의 배치 구조</w:t>
      </w:r>
    </w:p>
    <w:p>
      <w:pPr>
        <w:spacing w:after="80" w:before="80"/>
        <w:ind w:left="0"/>
        <w:jc w:val="both"/>
      </w:pPr>
      <w:r>
        <w:rPr>
          <w:rFonts w:ascii="Malgun Gothic" w:cs="Malgun Gothic" w:eastAsia="Malgun Gothic" w:hAnsi="Malgun Gothic"/>
          <w:sz w:val="22"/>
          <w:szCs w:val="22"/>
        </w:rPr>
        <w:t xml:space="preserve">첨부된 비교 분석에서 "API로 20개를 한 번에 넣는" 방식의 어텐션 분산을 원인으로 지목하는 견해가 있다. 그러나 본 파이프라인은 ThreadPoolExecutor로 20개를 병렬 호출하되 각 호출은 단 1건의 사건만 처리한다. 즉 배치 내 어텐션 분산은 존재하지 않는다. 성능 차이의 원인은 배치 병렬 처리 구조가 아니라 각 개별 호출에서의 토큰 제약과 프롬프트 구성 방식에 있다.</w:t>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5. 22회차 종단 평가 실험 결과</w:t>
      </w:r>
    </w:p>
    <w:p>
      <w:pPr>
        <w:pStyle w:val="Heading2"/>
        <w:spacing w:after="160" w:before="300"/>
      </w:pPr>
      <w:r>
        <w:rPr>
          <w:rFonts w:ascii="Malgun Gothic" w:cs="Malgun Gothic" w:eastAsia="Malgun Gothic" w:hAnsi="Malgun Gothic"/>
          <w:b/>
          <w:bCs/>
          <w:color w:val="2E75B6"/>
          <w:sz w:val="28"/>
          <w:szCs w:val="28"/>
        </w:rPr>
        <w:t xml:space="preserve">5.1 실험 개요</w:t>
      </w:r>
    </w:p>
    <w:p>
      <w:pPr>
        <w:spacing w:after="80" w:before="80"/>
        <w:ind w:left="0"/>
        <w:jc w:val="both"/>
      </w:pPr>
      <w:r>
        <w:rPr>
          <w:rFonts w:ascii="Malgun Gothic" w:cs="Malgun Gothic" w:eastAsia="Malgun Gothic" w:hAnsi="Malgun Gothic"/>
          <w:sz w:val="22"/>
          <w:szCs w:val="22"/>
        </w:rPr>
        <w:t xml:space="preserve">2026년 5월 12일부터 5월 15일까지 대법원 판결문 350건을 대상으로 22회차에 걸쳐 가상 판결 생성 및 평가 실험을 수행하였다. 각 회차는 20건 단위 배치로 구성되며, 회차 완료 후 방법론 갱신 제안서가 자동 생성된다. 평가 기준은 대법원 실제 판결과의 일치도(0~10점)이며, 7점 이상을 합격 기준으로 한다.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구분</w:t>
            </w:r>
          </w:p>
        </w:tc>
        <w:tc>
          <w:tcPr>
            <w:tcW w:type="dxa" w:w="6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수치</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총 평가 사건</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348건 (재평가 포함)</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총 회차</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22회차 (4회차~22회차, 15~17회차 결측)</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K-Law 버전 범위</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v14.3 → v14.9 (9개 버전, 약 20회 갱신)</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평가 기간</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2026.05.12 ~ 2026.05.15 (4일)</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합격 기준</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7.0점 이상</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전체 평균 (재평가 포함)</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7.39/10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전체 평균 (합격 사건만)</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9.57/10</w:t>
            </w:r>
          </w:p>
        </w:tc>
      </w:tr>
    </w:tbl>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5.2 회차별 평균 점수 추이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600"/>
        <w:gridCol w:w="900"/>
        <w:gridCol w:w="1800"/>
        <w:gridCol w:w="2700"/>
      </w:tblGrid>
      <w:tr>
        <w:tc>
          <w:tcPr>
            <w:tcW w:type="dxa" w:w="9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회차</w:t>
            </w:r>
          </w:p>
        </w:tc>
        <w:tc>
          <w:tcPr>
            <w:tcW w:type="dxa" w:w="11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전체 건수</w:t>
            </w:r>
          </w:p>
        </w:tc>
        <w:tc>
          <w:tcPr>
            <w:tcW w:type="dxa" w:w="1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평균(재평가 포함)</w:t>
            </w:r>
          </w:p>
        </w:tc>
        <w:tc>
          <w:tcPr>
            <w:tcW w:type="dxa" w:w="9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트렌드</w:t>
            </w:r>
          </w:p>
        </w:tc>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적용 K-Law 버전</w:t>
            </w:r>
          </w:p>
        </w:tc>
        <w:tc>
          <w:tcPr>
            <w:tcW w:type="dxa" w:w="27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비고</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8.14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기준</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v13.x</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첫 본격 배치</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40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7.07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1.07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v13.x</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재평가 대상 24건 포함</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6</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10</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9.80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2.73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v13.x</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최고점 회차</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9.54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0.26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v13.x</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17</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7.36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2.18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v14.0~</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v14 전환 직후</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9</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5.86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1.50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v14.0~</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7.11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1.25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v14.0~</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11~13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49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8.29 (평균)</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지속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v14.2~v14.3</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안정적 상승 구간</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17</w:t>
            </w:r>
          </w:p>
        </w:tc>
        <w:tc>
          <w:tcPr>
            <w:tcW w:type="dxa" w:w="16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5.11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3.38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v14.3</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최저점 회차</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16</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7.48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2.37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v14.3</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15회차 결측(0건)</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7.19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0.29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v14.3</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2배치: 5.35 → 갱신 트리거</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19</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42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5.87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1.32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v14.4</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재평가 대량 투입</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88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6.93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1.06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v14.4~v14.5</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최대 배치, 재평가+신규 혼재</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7.22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0.29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v14.5~v14.6</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6.03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 1.19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v14.6~v14.7</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소표본</w:t>
            </w:r>
          </w:p>
        </w:tc>
      </w:tr>
    </w:tbl>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5.3 점수 분포 분석 — 양극화 구조</w:t>
      </w:r>
    </w:p>
    <w:p>
      <w:pPr>
        <w:spacing w:after="80" w:before="80"/>
        <w:ind w:left="0"/>
        <w:jc w:val="both"/>
      </w:pPr>
      <w:r>
        <w:rPr>
          <w:rFonts w:ascii="Malgun Gothic" w:cs="Malgun Gothic" w:eastAsia="Malgun Gothic" w:hAnsi="Malgun Gothic"/>
          <w:sz w:val="22"/>
          <w:szCs w:val="22"/>
        </w:rPr>
        <w:t xml:space="preserve">전체 348건의 점수 분포는 뚜렷한 양극화 패턴을 보인다. 0~3점 저득점층이 약 20%, 8~10점 고득점층이 약 55%를 차지하며, 중간 구간(4~7점)은 상대적으로 적다. 이는 K-Law가 단순 쟁점 사건(형사 일반, 조세 단순)에서는 완전 일치에 가까운 성능을 보이는 반면, 복합 법리 사건(가사·노동·행정 복합, 재평가 대상)에서는 구조적으로 낮은 점수를 받는 특성을 반영한다.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600"/>
      </w:tblGrid>
      <w:tr>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점수 구간</w:t>
            </w:r>
          </w:p>
        </w:tc>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건수(추정)</w:t>
            </w:r>
          </w:p>
        </w:tc>
        <w:tc>
          <w:tcPr>
            <w:tcW w:type="dxa" w:w="1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비율</w:t>
            </w:r>
          </w:p>
        </w:tc>
        <w:tc>
          <w:tcPr>
            <w:tcW w:type="dxa" w:w="3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특성</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0~3점 (완전 불일치)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~70건</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~20%</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결론 역전, 환각 사실관계 사용, A-0-S 누락</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4~6점 (부분 일치)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~87건</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~25%</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핵심 법리 오적용, 논증 누락</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7~8점 (대체로 일치)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~70건</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~20%</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세부 논증 불충분, B-5 모듈 미발동</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9~10점 (완전 일치)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~121건</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~35%</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결론·법리·논증 모두 일치</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합계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348건</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100%</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w:t>
            </w:r>
          </w:p>
        </w:tc>
      </w:tr>
    </w:tbl>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5.4 합격 품질의 안정성</w:t>
      </w:r>
    </w:p>
    <w:p>
      <w:pPr>
        <w:spacing w:after="80" w:before="80"/>
        <w:ind w:left="0"/>
        <w:jc w:val="both"/>
      </w:pPr>
      <w:r>
        <w:rPr>
          <w:rFonts w:ascii="Malgun Gothic" w:cs="Malgun Gothic" w:eastAsia="Malgun Gothic" w:hAnsi="Malgun Gothic"/>
          <w:sz w:val="22"/>
          <w:szCs w:val="22"/>
        </w:rPr>
        <w:t xml:space="preserve">주목할 점은 합격 사건(7점 이상)만의 평균이 9.57/10으로 전 회차에 걸쳐 일정하다는 것이다. 방법론 갱신 여부나 회차에 관계없이 합격 품질 자체는 매우 안정적이다. 이는 K-Law가 판결할 수 있는 사건 유형에서는 높은 정확도를 유지하지만, 판결할 수 없는 사건 유형의 비율이 성능을 결정한다는 것을 의미한다.</w:t>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6. 방법론 갱신 효과의 측정 역설</w:t>
      </w:r>
    </w:p>
    <w:p>
      <w:pPr>
        <w:pStyle w:val="Heading2"/>
        <w:spacing w:after="160" w:before="300"/>
      </w:pPr>
      <w:r>
        <w:rPr>
          <w:rFonts w:ascii="Malgun Gothic" w:cs="Malgun Gothic" w:eastAsia="Malgun Gothic" w:hAnsi="Malgun Gothic"/>
          <w:b/>
          <w:bCs/>
          <w:color w:val="2E75B6"/>
          <w:sz w:val="28"/>
          <w:szCs w:val="28"/>
        </w:rPr>
        <w:t xml:space="preserve">6.1 역설의 기술</w:t>
      </w:r>
    </w:p>
    <w:p>
      <w:pPr>
        <w:spacing w:after="80" w:before="80"/>
        <w:ind w:left="0"/>
        <w:jc w:val="both"/>
      </w:pPr>
      <w:r>
        <w:rPr>
          <w:rFonts w:ascii="Malgun Gothic" w:cs="Malgun Gothic" w:eastAsia="Malgun Gothic" w:hAnsi="Malgun Gothic"/>
          <w:sz w:val="22"/>
          <w:szCs w:val="22"/>
        </w:rPr>
        <w:t xml:space="preserve">22회차 종단 실험에서 직관에 반하는 패턴이 관찰되었다. K-Law 방법론은 v14.3에서 v14.9까지 약 20회 갱신되었고, 각 갱신마다 오판 패턴을 분석하고 새로운 강제규칙·공리·서브모듈이 추가되었다. 그러나 재평가 대상 포함 전체 평균은 하락 추세를 보이거나 개선 없는 정체 상태를 유지하였다.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이를 "방법론 정교화의 역설"이라 명명한다: 방법론이 정교해질수록 평균 점수가 낮아지는 것처럼 보이는 현상.</w:t>
      </w:r>
    </w:p>
    <w:p>
      <w:pPr>
        <w:pStyle w:val="Heading2"/>
        <w:spacing w:after="160" w:before="300"/>
      </w:pPr>
      <w:r>
        <w:rPr>
          <w:rFonts w:ascii="Malgun Gothic" w:cs="Malgun Gothic" w:eastAsia="Malgun Gothic" w:hAnsi="Malgun Gothic"/>
          <w:b/>
          <w:bCs/>
          <w:color w:val="2E75B6"/>
          <w:sz w:val="28"/>
          <w:szCs w:val="28"/>
        </w:rPr>
        <w:t xml:space="preserve">6.2 원인 분석 — 희석 효과 가설</w:t>
      </w:r>
    </w:p>
    <w:p>
      <w:pPr>
        <w:spacing w:after="80" w:before="80"/>
        <w:ind w:left="0"/>
        <w:jc w:val="both"/>
      </w:pPr>
      <w:r>
        <w:rPr>
          <w:rFonts w:ascii="Malgun Gothic" w:cs="Malgun Gothic" w:eastAsia="Malgun Gothic" w:hAnsi="Malgun Gothic"/>
          <w:sz w:val="22"/>
          <w:szCs w:val="22"/>
        </w:rPr>
        <w:t xml:space="preserve">역설의 원인은 측정 대상의 구성 변화에 있다. 방법론 갱신 트리거는 배치 평균이 7.0점 미만일 때 발동되며, 이는 주로 재평가 대상 사건이 대량 투입된 배치에서 발생한다. 재평가 대상 사건은 정의상 이전에 낮은 점수를 받은 사건들이다.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19회차(42건)와 20회차(88건)에서 재평가 대상 비중이 높아 평균이 낮아졌고, 이것이 방법론 갱신 트리거를 반복 발동시켰다. 결과적으로 갱신 회수는 늘어났지만 재평가 사건의 희석 효과로 전체 평균은 개선되지 않은 것처럼 보인다. 합격 품질(9.57점)이 일정하다는 사실이 이 가설을 지지한다.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000"/>
      </w:tblGrid>
      <w:tr>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설명 변수</w:t>
            </w:r>
          </w:p>
        </w:tc>
        <w:tc>
          <w:tcPr>
            <w:tcW w:type="dxa" w:w="3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검증 방법</w:t>
            </w:r>
          </w:p>
        </w:tc>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확신도</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재평가 대상 희석 효과 (가장 유력)</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합격 사건 평균 vs 전체 평균 비교: 9.57 vs 7.39 → 2.18점 차이</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방법론 갱신 자체의 부정적 효과</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합격 품질 안정(9.57점)으로 반증</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평가 대상 사건 난이도 증가</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19회차 이후 가사·노동·재평가 복합 사건 집중</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55%</w:t>
            </w:r>
          </w:p>
        </w:tc>
      </w:tr>
    </w:tbl>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6.3 올바른 방법론 갱신 효과 측정 방법</w:t>
      </w:r>
    </w:p>
    <w:p>
      <w:pPr>
        <w:spacing w:after="80" w:before="80"/>
        <w:ind w:left="0"/>
        <w:jc w:val="both"/>
      </w:pPr>
      <w:r>
        <w:rPr>
          <w:rFonts w:ascii="Malgun Gothic" w:cs="Malgun Gothic" w:eastAsia="Malgun Gothic" w:hAnsi="Malgun Gothic"/>
          <w:sz w:val="22"/>
          <w:szCs w:val="22"/>
        </w:rPr>
        <w:t xml:space="preserve">역설을 해소하기 위해 다음 세 가지 측정 방법을 제안한다.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방법 A (신규/재평가 분리 측정): 신규 판결문(처음 평가받는 사건)과 재평가 대상을 분리하여 각각의 평균을 추적한다. 현재 scores/N회차/ 폴더와 scores/N회차 재평가 대상/ 폴더가 이미 분리되어 있으므로 즉시 적용 가능하다.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방법 B (고정 벤치마크): 난이도가 균형 잡힌 사건 50건을 고정 벤치마크로 선정하고, 방법론 갱신마다 동일 사건으로 평가한다. 사건 구성 차이라는 변수를 완전히 제거한다.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방법 C (재평가 합격 전환율): 재평가 대상 사건이 재평가 후 7점 이상으로 전환되는 비율을 추적한다. 방법론이 개선될수록 이 전환율이 높아져야 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방법 B가 가장 엄밀하나 구축 비용이 크다. 현재 데이터로 즉시 실행 가능한 방법은 A이다.</w:t>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7. K-Law 방법론 갱신 자동화 시스템</w:t>
      </w:r>
    </w:p>
    <w:p>
      <w:pPr>
        <w:pStyle w:val="Heading2"/>
        <w:spacing w:after="160" w:before="300"/>
      </w:pPr>
      <w:r>
        <w:rPr>
          <w:rFonts w:ascii="Malgun Gothic" w:cs="Malgun Gothic" w:eastAsia="Malgun Gothic" w:hAnsi="Malgun Gothic"/>
          <w:b/>
          <w:bCs/>
          <w:color w:val="2E75B6"/>
          <w:sz w:val="28"/>
          <w:szCs w:val="28"/>
        </w:rPr>
        <w:t xml:space="preserve">7.1 갱신 사이클 설계</w:t>
      </w:r>
    </w:p>
    <w:p>
      <w:pPr>
        <w:spacing w:after="80" w:before="80"/>
        <w:ind w:left="0"/>
        <w:jc w:val="both"/>
      </w:pPr>
      <w:r>
        <w:rPr>
          <w:rFonts w:ascii="Malgun Gothic" w:cs="Malgun Gothic" w:eastAsia="Malgun Gothic" w:hAnsi="Malgun Gothic"/>
          <w:sz w:val="22"/>
          <w:szCs w:val="22"/>
        </w:rPr>
        <w:t xml:space="preserve">K-Law 방법론 갱신은 다음 5단계 사이클로 자동화되어 있다.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1단계 — 배치 평가: evaluate_verdicts.py가 20건을 평가하여 각 점수를 scores/N회차/ 폴더에 저장한다.</w:t>
      </w:r>
    </w:p>
    <w:p>
      <w:pPr>
        <w:spacing w:after="80" w:before="80"/>
        <w:ind w:left="0"/>
        <w:jc w:val="both"/>
      </w:pPr>
      <w:r>
        <w:rPr>
          <w:rFonts w:ascii="Malgun Gothic" w:cs="Malgun Gothic" w:eastAsia="Malgun Gothic" w:hAnsi="Malgun Gothic"/>
          <w:sz w:val="22"/>
          <w:szCs w:val="22"/>
        </w:rPr>
        <w:t xml:space="preserve">2단계 — 갱신 트리거 판정: 배치 평균이 7.0점 미만이면 트리거가 발동된다.</w:t>
      </w:r>
    </w:p>
    <w:p>
      <w:pPr>
        <w:spacing w:after="80" w:before="80"/>
        <w:ind w:left="0"/>
        <w:jc w:val="both"/>
      </w:pPr>
      <w:r>
        <w:rPr>
          <w:rFonts w:ascii="Malgun Gothic" w:cs="Malgun Gothic" w:eastAsia="Malgun Gothic" w:hAnsi="Malgun Gothic"/>
          <w:sz w:val="22"/>
          <w:szCs w:val="22"/>
        </w:rPr>
        <w:t xml:space="preserve">3단계 — 제안서 자동 생성: DeepSeek API를 통해 평가 결과를 분석하고 renewal_proposal_*.txt를 자동 생성한다. 제안서는 오판 유형별 빈도, 강제규칙 위반 현황, 방법론 갱신 제안을 포함한다.</w:t>
      </w:r>
    </w:p>
    <w:p>
      <w:pPr>
        <w:spacing w:after="80" w:before="80"/>
        <w:ind w:left="0"/>
        <w:jc w:val="both"/>
      </w:pPr>
      <w:r>
        <w:rPr>
          <w:rFonts w:ascii="Malgun Gothic" w:cs="Malgun Gothic" w:eastAsia="Malgun Gothic" w:hAnsi="Malgun Gothic"/>
          <w:sz w:val="22"/>
          <w:szCs w:val="22"/>
        </w:rPr>
        <w:t xml:space="preserve">4단계 — 인간 검토 및 방법론 파일 작성: 연구자가 제안서를 검토하고 klaw_v*.md 파일을 업데이트한다. 이 단계가 사람의 유일한 개입점이다.</w:t>
      </w:r>
    </w:p>
    <w:p>
      <w:pPr>
        <w:spacing w:after="80" w:before="80"/>
        <w:ind w:left="0"/>
        <w:jc w:val="both"/>
      </w:pPr>
      <w:r>
        <w:rPr>
          <w:rFonts w:ascii="Malgun Gothic" w:cs="Malgun Gothic" w:eastAsia="Malgun Gothic" w:hAnsi="Malgun Gothic"/>
          <w:sz w:val="22"/>
          <w:szCs w:val="22"/>
        </w:rPr>
        <w:t xml:space="preserve">5단계 — 자동 버전 갱신: 다음 배치 시작 시 run_verdicts.py가 새 버전 파일을 탐지하여 자동 적용한다.</w:t>
      </w:r>
    </w:p>
    <w:p>
      <w:pPr>
        <w:pStyle w:val="Heading2"/>
        <w:spacing w:after="160" w:before="300"/>
      </w:pPr>
      <w:r>
        <w:rPr>
          <w:rFonts w:ascii="Malgun Gothic" w:cs="Malgun Gothic" w:eastAsia="Malgun Gothic" w:hAnsi="Malgun Gothic"/>
          <w:b/>
          <w:bCs/>
          <w:color w:val="2E75B6"/>
          <w:sz w:val="28"/>
          <w:szCs w:val="28"/>
        </w:rPr>
        <w:t xml:space="preserve">7.2 K-Law 방법론 버전별 핵심 갱신 내용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c>
          <w:tcPr>
            <w:tcW w:type="dxa" w:w="1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버전</w:t>
            </w:r>
          </w:p>
        </w:tc>
        <w:tc>
          <w:tcPr>
            <w:tcW w:type="dxa" w:w="1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갱신 트리거</w:t>
            </w:r>
          </w:p>
        </w:tc>
        <w:tc>
          <w:tcPr>
            <w:tcW w:type="dxa" w:w="6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핵심 갱신 항목</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18회차 2배치
5.35점</w:t>
            </w:r>
          </w:p>
        </w:tc>
        <w:tc>
          <w:tcPr>
            <w:tcW w:type="dxa" w:w="6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강제규칙 22(다수의견 추종), B-5-A 발동 조건 확대, B-5-C 역방향 검증, 공리 J 허위 판례 강화, B-3 사실관계 매트릭스 8축, B-4 법리오해 분리심사, Fallback 로직</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19회차 1배치
4.52점</w:t>
            </w:r>
          </w:p>
        </w:tc>
        <w:tc>
          <w:tcPr>
            <w:tcW w:type="dxa" w:w="6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강제규칙 17(C-α 3단계 심층 분석), 강제규칙 18(각하 근거 판례 의무), 강제규칙 19(심급 판단 경계), A-0-S 최우선 격상+태깅, 공리 D/H 개정</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19회차 2배치
6.74점</w:t>
            </w:r>
          </w:p>
        </w:tc>
        <w:tc>
          <w:tcPr>
            <w:tcW w:type="dxa" w:w="6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C-α-7(공소장변경-직권파기), A-0-S-2(조문 특정 법리), B-3-A(해석 방법론 3트랙), C-α-2(집단 클러스터링), B-2-β(판례 시간적 태그), B-4-1(사실 포섭 체크리스트)</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20회차 3배치
6.58~6.79점</w:t>
            </w:r>
          </w:p>
        </w:tc>
        <w:tc>
          <w:tcPr>
            <w:tcW w:type="dxa" w:w="6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공리 G 강화(확신도 5 미만 강제유보+3차원), 강제규칙 5(심급·청구 유형 식별), B-7-1(판단유보 3단계), B-4-EX(예외 법리 탐색), B-3-FACT-CHECK(4분할 매트릭스), 강제규칙 20(재범위험성 도구)</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21회차 1배치
6.55점</w:t>
            </w:r>
          </w:p>
        </w:tc>
        <w:tc>
          <w:tcPr>
            <w:tcW w:type="dxa" w:w="6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A-0-S 원칙-예외 탐지 서브루틴, B-1 원칙-예외 균형 검증기, 강제규칙 H(부작위 구성요건 3단계), A-0-S 계속적 불법행위 정의, B-1 행정규칙 유형 분류</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v14.9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22회차 1배치
7.22점(선제)</w:t>
            </w:r>
          </w:p>
        </w:tc>
        <w:tc>
          <w:tcPr>
            <w:tcW w:type="dxa" w:w="6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Truth-Grounding Check(A-1), STEP-0 정보 충실도 게이트, C-α-(11)(원심 범위 검증), B-5-C 자동 트리거+체크리스트 강제 출력, confidence -1 정규화(코드 수정)</w:t>
            </w:r>
          </w:p>
        </w:tc>
      </w:tr>
    </w:tbl>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7.3 갱신 제안서 자동 생성의 품질</w:t>
      </w:r>
    </w:p>
    <w:p>
      <w:pPr>
        <w:spacing w:after="80" w:before="80"/>
        <w:ind w:left="0"/>
        <w:jc w:val="both"/>
      </w:pPr>
      <w:r>
        <w:rPr>
          <w:rFonts w:ascii="Malgun Gothic" w:cs="Malgun Gothic" w:eastAsia="Malgun Gothic" w:hAnsi="Malgun Gothic"/>
          <w:sz w:val="22"/>
          <w:szCs w:val="22"/>
        </w:rPr>
        <w:t xml:space="preserve">22회차에 걸쳐 생성된 총 18개의 renewal_proposal를 분석한 결과, 제안서의 품질이 회차를 거듭할수록 향상되는 패턴이 관찰되었다. 초기 제안서(19회차 이전)는 오판 유형의 정성적 서술에 집중한 반면, 후기 제안서(20회차 이후)는 구체적인 강제규칙 번호, 감점 조항, 코드 수준 수정 사항까지 포함하였다.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특히 주목할 점은 제안서가 이미 기반영된 항목을 다시 제안하는 경우가 드물었다는 것이다. LLM이 이전 방법론의 내용(134KB)을 컨텍스트로 받아 새로운 개선 방향을 제안하는 방식이 효과적으로 작동하였다.</w:t>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8. 논의</w:t>
      </w:r>
    </w:p>
    <w:p>
      <w:pPr>
        <w:pStyle w:val="Heading2"/>
        <w:spacing w:after="160" w:before="300"/>
      </w:pPr>
      <w:r>
        <w:rPr>
          <w:rFonts w:ascii="Malgun Gothic" w:cs="Malgun Gothic" w:eastAsia="Malgun Gothic" w:hAnsi="Malgun Gothic"/>
          <w:b/>
          <w:bCs/>
          <w:color w:val="2E75B6"/>
          <w:sz w:val="28"/>
          <w:szCs w:val="28"/>
        </w:rPr>
        <w:t xml:space="preserve">8.1 자동화된 방법론 갱신 시스템의 의의</w:t>
      </w:r>
    </w:p>
    <w:p>
      <w:pPr>
        <w:spacing w:after="80" w:before="80"/>
        <w:ind w:left="0"/>
        <w:jc w:val="both"/>
      </w:pPr>
      <w:r>
        <w:rPr>
          <w:rFonts w:ascii="Malgun Gothic" w:cs="Malgun Gothic" w:eastAsia="Malgun Gothic" w:hAnsi="Malgun Gothic"/>
          <w:sz w:val="22"/>
          <w:szCs w:val="22"/>
        </w:rPr>
        <w:t xml:space="preserve">K-Law 방법론 갱신 사이클은 소프트웨어 공학의 테스트 주도 개발(TDD)과 유사한 구조를 법률 AI에 적용한 사례다. "평가 → 오류 감지 → 방법론 수정 → 재평가"의 반복이 자동화됨으로써, 22회차(4일) 동안 v14.3에서 v14.9까지 6개 버전이 순차 갱신될 수 있었다. 이는 법률 AI 품질 관리에 대한 새로운 접근을 제시한다.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그러나 사람의 개입이 완전히 제거된 것은 아니다. 방법론 갱신 파일(klaw_v*.md) 작성은 여전히 연구자가 수행하며, Enter 키를 통한 배치 진행 결정도 사람이 내린다. 향후 완전 자동화(run_and_evaluate.py)의 적용이 예정되어 있으나, 방법론 파일 자동 작성은 추가 연구가 필요하다.</w:t>
      </w:r>
    </w:p>
    <w:p>
      <w:pPr>
        <w:pStyle w:val="Heading2"/>
        <w:spacing w:after="160" w:before="300"/>
      </w:pPr>
      <w:r>
        <w:rPr>
          <w:rFonts w:ascii="Malgun Gothic" w:cs="Malgun Gothic" w:eastAsia="Malgun Gothic" w:hAnsi="Malgun Gothic"/>
          <w:b/>
          <w:bCs/>
          <w:color w:val="2E75B6"/>
          <w:sz w:val="28"/>
          <w:szCs w:val="28"/>
        </w:rPr>
        <w:t xml:space="preserve">8.2 파이프라인의 재현 가능성</w:t>
      </w:r>
    </w:p>
    <w:p>
      <w:pPr>
        <w:spacing w:after="80" w:before="80"/>
        <w:ind w:left="0"/>
        <w:jc w:val="both"/>
      </w:pPr>
      <w:r>
        <w:rPr>
          <w:rFonts w:ascii="Malgun Gothic" w:cs="Malgun Gothic" w:eastAsia="Malgun Gothic" w:hAnsi="Malgun Gothic"/>
          <w:sz w:val="22"/>
          <w:szCs w:val="22"/>
        </w:rPr>
        <w:t xml:space="preserve">본 논문에서 공개한 파이프라인의 핵심 구성 요소는 다음과 같다: run_verdicts.py (판결 생성 오케스트레이터), klaw_ensemble.py (앙상블 검증), evaluate_verdicts.py (평가 및 제안서 생성), run_and_evaluate.py (통합 실행). 이 네 파일과 K-Law 방법론 파일(klaw_v*.md), DeepSeek API 키가 있으면 동일한 파이프라인을 재현할 수 있다.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단, 재현 시 다음 사항에 주의해야 한다. (1) deepseek-v4-pro 모델은 항상 thinking 모드로 동작하므로 reasoning_content 추출이 필수다. (2) 판단자 호출 시 "thinking: disabled" 파라미터가 없으면 빈 응답이 반환된다. (3) confidence 값이 -1로 반환되는 경우 0으로 정규화해야 한다(v14.9에서 자동 처리).</w:t>
      </w:r>
    </w:p>
    <w:p>
      <w:pPr>
        <w:pStyle w:val="Heading2"/>
        <w:spacing w:after="160" w:before="300"/>
      </w:pPr>
      <w:r>
        <w:rPr>
          <w:rFonts w:ascii="Malgun Gothic" w:cs="Malgun Gothic" w:eastAsia="Malgun Gothic" w:hAnsi="Malgun Gothic"/>
          <w:b/>
          <w:bCs/>
          <w:color w:val="2E75B6"/>
          <w:sz w:val="28"/>
          <w:szCs w:val="28"/>
        </w:rPr>
        <w:t xml:space="preserve">8.3 한계</w:t>
      </w:r>
    </w:p>
    <w:p>
      <w:pPr>
        <w:spacing w:after="80" w:before="80"/>
        <w:ind w:left="0"/>
        <w:jc w:val="both"/>
      </w:pPr>
      <w:r>
        <w:rPr>
          <w:rFonts w:ascii="Malgun Gothic" w:cs="Malgun Gothic" w:eastAsia="Malgun Gothic" w:hAnsi="Malgun Gothic"/>
          <w:sz w:val="22"/>
          <w:szCs w:val="22"/>
        </w:rPr>
        <w:t xml:space="preserve">첫째, 평가 기준의 단일성이다. 대법원 판결과의 일치도(0~10점)만을 성능 지표로 사용하므로, K-Law가 실제로 더 우수한 법리를 적용했음에도 낮은 점수를 받을 가능성이 있다. v7.1 방법론과의 병행 평가가 보완책이나 본 논문에서는 다루지 않는다.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둘째, 재현 가능성의 한계다. DeepSeek API의 응답이 비결정적이므로 동일한 입력에 대해 매 실행마다 다른 결과가 나온다. 22회차 실험 결과는 특정 시점의 모델 버전과 파라미터에 종속된다.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셋째, 소표본 회차의 대표성이다. 22회차(9건), 6회차(10건) 등 일부 회차는 표본이 작아 평균의 신뢰구간이 넓다.</w:t>
      </w:r>
    </w:p>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8.4 고성능 모델 전환 시 비용·성능 추정</w:t>
      </w:r>
    </w:p>
    <w:p>
      <w:pPr>
        <w:spacing w:after="80" w:before="80"/>
        <w:ind w:left="0"/>
        <w:jc w:val="both"/>
      </w:pPr>
      <w:r>
        <w:rPr>
          <w:rFonts w:ascii="Malgun Gothic" w:cs="Malgun Gothic" w:eastAsia="Malgun Gothic" w:hAnsi="Malgun Gothic"/>
          <w:sz w:val="22"/>
          <w:szCs w:val="22"/>
        </w:rPr>
        <w:t xml:space="preserve">22회차 종단 실험은 DeepSeek v4 Pro(저비용 모델)로 수행되었다. 본 절에서는 동일한 파이프라인에 2026년 5월 현재 최고 성능 모델(Claude 4 Opus, Gemini 1.5 Pro 등)을 적용할 경우의 비용과 성능을 추정한다. 이 추정은 실제 실험이 아닌 분석적 추론이므로 향후 검증이 필요하다.</w:t>
      </w:r>
    </w:p>
    <w:p>
      <w:pPr>
        <w:spacing w:after="60" w:before="60"/>
      </w:pPr>
      <w:r>
        <w:t xml:space="preserve"/>
      </w:r>
    </w:p>
    <w:p>
      <w:pPr>
        <w:pStyle w:val="Heading3"/>
        <w:spacing w:after="120" w:before="240"/>
      </w:pPr>
      <w:r>
        <w:rPr>
          <w:rFonts w:ascii="Malgun Gothic" w:cs="Malgun Gothic" w:eastAsia="Malgun Gothic" w:hAnsi="Malgun Gothic"/>
          <w:b/>
          <w:bCs/>
          <w:color w:val="375623"/>
          <w:sz w:val="24"/>
          <w:szCs w:val="24"/>
        </w:rPr>
        <w:t xml:space="preserve">8.4.1 현재 실험 비용 (DeepSeek v4 Pro 기준)</w:t>
      </w:r>
    </w:p>
    <w:p>
      <w:pPr>
        <w:spacing w:after="80" w:before="80"/>
        <w:ind w:left="0"/>
        <w:jc w:val="both"/>
      </w:pPr>
      <w:r>
        <w:rPr>
          <w:rFonts w:ascii="Malgun Gothic" w:cs="Malgun Gothic" w:eastAsia="Malgun Gothic" w:hAnsi="Malgun Gothic"/>
          <w:sz w:val="22"/>
          <w:szCs w:val="22"/>
        </w:rPr>
        <w:t xml:space="preserve">22회차 종단 실험(350건 판결 생성 + 348건 평가)의 총 실제 지출 비용은 약 $30(한화 약 43,000원)였다. 이는 DeepSeek의 한시적 할인이 적용된 결과로, 사건당 평균 약 $0.085(약 120원)에 해당한다.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토큰 사용량 기준으로 분석하면, 시스템 프롬프트(K-Law 방법론 약 134KB)는 약 100,000~110,000 토큰, 사건 요약본은 약 2,000~3,000 토큰, 판결문 출력은 max_tokens=16,000 기준 건당 최대 16,000 토큰이다.</w:t>
      </w:r>
    </w:p>
    <w:p>
      <w:pPr>
        <w:spacing w:after="60" w:before="60"/>
      </w:pPr>
      <w:r>
        <w:t xml:space="preserve"/>
      </w:r>
    </w:p>
    <w:p>
      <w:pPr>
        <w:pStyle w:val="Heading3"/>
        <w:spacing w:after="120" w:before="240"/>
      </w:pPr>
      <w:r>
        <w:rPr>
          <w:rFonts w:ascii="Malgun Gothic" w:cs="Malgun Gothic" w:eastAsia="Malgun Gothic" w:hAnsi="Malgun Gothic"/>
          <w:b/>
          <w:bCs/>
          <w:color w:val="375623"/>
          <w:sz w:val="24"/>
          <w:szCs w:val="24"/>
        </w:rPr>
        <w:t xml:space="preserve">8.4.2 최고 성능 모델 전환 시 비용 추정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600"/>
      </w:tblGrid>
      <w:tr>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시나리오</w:t>
            </w:r>
          </w:p>
        </w:tc>
        <w:tc>
          <w:tcPr>
            <w:tcW w:type="dxa" w:w="28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조건</w:t>
            </w:r>
          </w:p>
        </w:tc>
        <w:tc>
          <w:tcPr>
            <w:tcW w:type="dxa" w:w="1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사건당 비용</w:t>
            </w:r>
          </w:p>
        </w:tc>
        <w:tc>
          <w:tcPr>
            <w:tcW w:type="dxa" w:w="16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350건 총비용</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현재 (기준)</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DeepSeek v4 Pro, 할인 적용</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약 $0.085 (120원)</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$30 (43,000원)</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시나리오 1
캐싱 미적용</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최고 성능 모델
입력 $15/1M + 출력 $75/1M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약 $2.90 (4,200원)</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$1,015 (148만원)</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시나리오 2
캐싱 적용 (권장)</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방법론(110K 토큰) 캐싱
캐싱 비용 $1.5/1M 적용</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약 $1.41 (2,000원)</w:t>
            </w:r>
          </w:p>
        </w:tc>
        <w:tc>
          <w:tcPr>
            <w:tcW w:type="dxa" w:w="1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$494 (72만원)</w:t>
            </w:r>
          </w:p>
        </w:tc>
      </w:tr>
    </w:tbl>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Context Caching은 동일한 시스템 프롬프트(K-Law 방법론 134KB)를 반복 사용하는 본 파이프라인에 특히 효과적이다. 배치 처리(20건 단위) 구조에서 캐싱을 적용하면 입력 비용의 약 90%를 절감할 수 있으며, 이 경우 사건당 비용은 $1.41로 현재 대비 약 16.6배 수준이다.</w:t>
      </w:r>
    </w:p>
    <w:p>
      <w:pPr>
        <w:spacing w:after="60" w:before="60"/>
      </w:pPr>
      <w:r>
        <w:t xml:space="preserve"/>
      </w:r>
    </w:p>
    <w:p>
      <w:pPr>
        <w:pStyle w:val="Heading3"/>
        <w:spacing w:after="120" w:before="240"/>
      </w:pPr>
      <w:r>
        <w:rPr>
          <w:rFonts w:ascii="Malgun Gothic" w:cs="Malgun Gothic" w:eastAsia="Malgun Gothic" w:hAnsi="Malgun Gothic"/>
          <w:b/>
          <w:bCs/>
          <w:color w:val="375623"/>
          <w:sz w:val="24"/>
          <w:szCs w:val="24"/>
        </w:rPr>
        <w:t xml:space="preserve">8.4.3 성능 개선 예측</w:t>
      </w:r>
    </w:p>
    <w:p>
      <w:pPr>
        <w:spacing w:after="80" w:before="80"/>
        <w:ind w:left="0"/>
        <w:jc w:val="both"/>
      </w:pPr>
      <w:r>
        <w:rPr>
          <w:rFonts w:ascii="Malgun Gothic" w:cs="Malgun Gothic" w:eastAsia="Malgun Gothic" w:hAnsi="Malgun Gothic"/>
          <w:sz w:val="22"/>
          <w:szCs w:val="22"/>
        </w:rPr>
        <w:t xml:space="preserve">최고 성능 모델 전환 시 성능 개선은 두 가지 경로로 발생할 것으로 분석된다.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첫째, Lost in the Middle 현상 해소. §4.2에서 분석한 바와 같이, API 성능 저하의 주원인 중 하나는 134KB 방법론 문서의 중간 섹션 희석이다. 최고 성능 모델은 더 넓은 컨텍스트 윈도우와 향상된 어텐션 메커니즘으로 이 현상을 완화한다. 이 경우 현재 65%(API 자동)에서 웹 수동 입력 수준인 85%에 근접하는 성능 회복이 예상된다.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둘째, 저득점 구간 해소. 현재 전체 분포의 약 20%를 차지하는 0~3점 저득점층은 주로 사실관계 환각, A-0-S 누락, 논증 중단에 기인한다. 최고 성능 모델의 향상된 추론 능력은 이러한 구조적 오류를 감소시켜 저득점 구간의 7~8점대 이동을 유발할 것으로 분석된다.</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c>
          <w:tcPr>
            <w:tcW w:type="dxa" w:w="22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지표</w:t>
            </w:r>
          </w:p>
        </w:tc>
        <w:tc>
          <w:tcPr>
            <w:tcW w:type="dxa" w:w="2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현재 (DeepSeek v4 Pro)</w:t>
            </w:r>
          </w:p>
        </w:tc>
        <w:tc>
          <w:tcPr>
            <w:tcW w:type="dxa" w:w="24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center"/>
            </w:pPr>
            <w:r>
              <w:rPr>
                <w:rFonts w:ascii="Malgun Gothic" w:cs="Malgun Gothic" w:eastAsia="Malgun Gothic" w:hAnsi="Malgun Gothic"/>
                <w:b/>
                <w:bCs/>
                <w:sz w:val="20"/>
                <w:szCs w:val="20"/>
              </w:rPr>
              <w:t xml:space="preserve">예측 (최고 성능 모델)</w:t>
            </w:r>
          </w:p>
        </w:tc>
        <w:tc>
          <w:tcPr>
            <w:tcW w:type="dxa" w:w="2000"/>
            <w:tcBorders>
              <w:top w:val="single" w:color="AAAAAA" w:sz="1"/>
              <w:left w:val="single" w:color="AAAAAA" w:sz="1"/>
              <w:bottom w:val="single" w:color="AAAAAA" w:sz="1"/>
              <w:right w:val="single" w:color="AAAAAA" w:sz="1"/>
            </w:tcBorders>
            <w:shd w:fill="D6E4F7" w:val="clear"/>
            <w:tcMar>
              <w:top w:type="dxa" w:w="60"/>
              <w:left w:type="dxa" w:w="100"/>
              <w:bottom w:type="dxa" w:w="60"/>
              <w:right w:type="dxa" w:w="100"/>
            </w:tcMar>
          </w:tcPr>
          <w:p>
            <w:pPr>
              <w:jc w:val="left"/>
            </w:pPr>
            <w:r>
              <w:rPr>
                <w:rFonts w:ascii="Malgun Gothic" w:cs="Malgun Gothic" w:eastAsia="Malgun Gothic" w:hAnsi="Malgun Gothic"/>
                <w:b/>
                <w:bCs/>
                <w:sz w:val="20"/>
                <w:szCs w:val="20"/>
              </w:rPr>
              <w:t xml:space="preserve">근거</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전체 평균 (재평가 포함)</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7.39/10</w:t>
            </w:r>
          </w:p>
        </w:tc>
        <w:tc>
          <w:tcPr>
            <w:tcW w:type="dxa" w:w="24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8.5~9.0/10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Lost in the Middle 해소</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합격 사건 평균</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9.57/10</w:t>
            </w:r>
          </w:p>
        </w:tc>
        <w:tc>
          <w:tcPr>
            <w:tcW w:type="dxa" w:w="24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9.7~9.9/10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이미 높은 수준, 소폭 개선</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저득점(0~3점) 비율</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약 20%</w:t>
            </w:r>
          </w:p>
        </w:tc>
        <w:tc>
          <w:tcPr>
            <w:tcW w:type="dxa" w:w="24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약 5% 미만</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환각·논증 중단 감소</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웹-API 성능 격차</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20%p (85% vs 65%)</w:t>
            </w:r>
          </w:p>
        </w:tc>
        <w:tc>
          <w:tcPr>
            <w:tcW w:type="dxa" w:w="24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Malgun Gothic" w:cs="Malgun Gothic" w:eastAsia="Malgun Gothic" w:hAnsi="Malgun Gothic"/>
                <w:b w:val="false"/>
                <w:bCs w:val="false"/>
                <w:sz w:val="20"/>
                <w:szCs w:val="20"/>
              </w:rPr>
              <w:t xml:space="preserve">5%p 이하</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algun Gothic" w:cs="Malgun Gothic" w:eastAsia="Malgun Gothic" w:hAnsi="Malgun Gothic"/>
                <w:b w:val="false"/>
                <w:bCs w:val="false"/>
                <w:sz w:val="20"/>
                <w:szCs w:val="20"/>
              </w:rPr>
              <w:t xml:space="preserve">어텐션 개선</w:t>
            </w:r>
          </w:p>
        </w:tc>
      </w:tr>
    </w:tbl>
    <w:p>
      <w:pPr>
        <w:spacing w:after="60" w:before="60"/>
      </w:pPr>
      <w:r>
        <w:t xml:space="preserve"/>
      </w:r>
    </w:p>
    <w:p>
      <w:pPr>
        <w:pStyle w:val="Heading3"/>
        <w:spacing w:after="120" w:before="240"/>
      </w:pPr>
      <w:r>
        <w:rPr>
          <w:rFonts w:ascii="Malgun Gothic" w:cs="Malgun Gothic" w:eastAsia="Malgun Gothic" w:hAnsi="Malgun Gothic"/>
          <w:b/>
          <w:bCs/>
          <w:color w:val="375623"/>
          <w:sz w:val="24"/>
          <w:szCs w:val="24"/>
        </w:rPr>
        <w:t xml:space="preserve">8.4.4 가성비의 역설 — 재평가 비용을 고려한 총비용 분석</w:t>
      </w:r>
    </w:p>
    <w:p>
      <w:pPr>
        <w:spacing w:after="80" w:before="80"/>
        <w:ind w:left="0"/>
        <w:jc w:val="both"/>
      </w:pPr>
      <w:r>
        <w:rPr>
          <w:rFonts w:ascii="Malgun Gothic" w:cs="Malgun Gothic" w:eastAsia="Malgun Gothic" w:hAnsi="Malgun Gothic"/>
          <w:sz w:val="22"/>
          <w:szCs w:val="22"/>
        </w:rPr>
        <w:t xml:space="preserve">단순 사건당 비용만으로는 모델 선택을 판단하기 어렵다. 저비용 모델 사용 시 낮은 점수를 받은 사건의 재생성·재평가 비용을 포함한 총비용(Total Cost of Accuracy)을 고려해야 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현재 22회차 실험에서 재평가 대상 사건은 총 112건이었다. 이 사건들의 재생성·재평가 비용을 합산하면 실제 사건당 달성 비용은 $0.085보다 높아진다. 반면 최고 성능 모델은 1회 호출로 합격 품질을 달성할 확률이 높아 재평가 횟수가 감소한다. 이 관점에서 비용 차이는 표면적인 16배보다 실질적으로 작을 가능성이 있다.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법률 서비스 시장의 맥락에서 사건당 $1.41(약 2,000원)은 기존 법률 서비스 비용과 비교할 때 극도로 저렴한 수준이다. 특히 대법원 파기환송이 발생할 경우 추가되는 소송 비용(수백만~수천만 원)과 비교하면, 사전 시뮬레이션 비용 2,000원의 비용 대비 편익은 수천 배에 달한다.</w:t>
      </w:r>
    </w:p>
    <w:p>
      <w:pPr>
        <w:spacing w:after="60" w:before="60"/>
      </w:pPr>
      <w:r>
        <w:t xml:space="preserve"/>
      </w:r>
    </w:p>
    <w:p>
      <w:r>
        <w:br w:type="page"/>
      </w:r>
    </w:p>
    <w:p>
      <w:pPr>
        <w:pStyle w:val="Heading1"/>
        <w:spacing w:after="200" w:before="400"/>
      </w:pPr>
      <w:r>
        <w:rPr>
          <w:rFonts w:ascii="Malgun Gothic" w:cs="Malgun Gothic" w:eastAsia="Malgun Gothic" w:hAnsi="Malgun Gothic"/>
          <w:b/>
          <w:bCs/>
          <w:color w:val="1F3864"/>
          <w:sz w:val="32"/>
          <w:szCs w:val="32"/>
        </w:rPr>
        <w:t xml:space="preserve">9. 결론</w:t>
      </w:r>
    </w:p>
    <w:p>
      <w:pPr>
        <w:spacing w:after="80" w:before="80"/>
        <w:ind w:left="0"/>
        <w:jc w:val="both"/>
      </w:pPr>
      <w:r>
        <w:rPr>
          <w:rFonts w:ascii="Malgun Gothic" w:cs="Malgun Gothic" w:eastAsia="Malgun Gothic" w:hAnsi="Malgun Gothic"/>
          <w:sz w:val="22"/>
          <w:szCs w:val="22"/>
        </w:rPr>
        <w:t xml:space="preserve">본 논문은 K-Law 가상 판결 생성 파이프라인의 상세 설계·구현을 최초로 공개하고, 22회차 종단 평가 실험 결과를 정량적으로 보고하였다. 다섯 가지 핵심 기여가 있다.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기여 1 — 파이프라인 공개: run_verdicts.py → klaw_ensemble.py → evaluate_verdicts.py의 3단계 파이프라인 구현을 코드 수준에서 공개하여 법률 AI 파이프라인 연구의 재현 가능성을 확보하였다. 특히 DeepSeek thinking 모드 처리, confidence 정규화, 앙상블 검증 구조가 최초로 문서화되었다.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기여 2 — 측정 역설 해소: 방법론 갱신이 평균 점수를 낮추는 것처럼 보이는 역설의 원인이 재평가 대상 사건의 희석 효과임을 실증적으로 규명하였다. 합격 품질(9.57/10)의 안정성이 이를 지지한다. 올바른 방법론 갱신 효과 측정을 위한 세 가지 방법(신규/재평가 분리, 고정 벤치마크, 전환율 추적)을 제안하였다.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기여 3 — 방법론 갱신 자동화 실증: "평가 → 제안서 생성 → 방법론 갱신 → 재평가"의 반복 사이클이 4일 동안 6개 버전 갱신을 가능하게 함을 실증하였다. 이는 법률 AI 품질 관리에 테스트 주도 개발 방식을 적용한 최초의 사례다.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기여 5 — 비용·성능 추정 제시: DeepSeek v4 Pro 기반 350건 실험의 실제 비용($30, 사건당 약 120원)을 공개하고, 최고 성능 모델 전환 시 캐싱 적용 기준 사건당 $1.41(약 2,000원)의 비용으로 전체 평균 점수가 7.39 → 8.5~9.0점으로 상승할 것을 분석적으로 추정하였다. 재평가 총비용을 포함한 가성비 분석은 향후 모델 선택의 실증적 근거를 제공한다.</w:t>
      </w:r>
    </w:p>
    <w:p>
      <w:pPr>
        <w:spacing w:after="60" w:before="60"/>
      </w:pPr>
      <w:r>
        <w:t xml:space="preserve"/>
      </w:r>
    </w:p>
    <w:p>
      <w:pPr>
        <w:spacing w:after="80" w:before="80"/>
        <w:ind w:left="0"/>
        <w:jc w:val="both"/>
      </w:pPr>
      <w:r>
        <w:rPr>
          <w:rFonts w:ascii="Malgun Gothic" w:cs="Malgun Gothic" w:eastAsia="Malgun Gothic" w:hAnsi="Malgun Gothic"/>
          <w:sz w:val="22"/>
          <w:szCs w:val="22"/>
        </w:rPr>
        <w:t xml:space="preserve">기여 4 — K-Law × 고팡 3계층 통합 생태계 제시: K-Law 파이프라인이 작동하는 상위 생태계를 명시하였다. 고팡이 소통 시점에서 분쟁·범죄의 약 90%를 차단(1차)하고, K-Law가 PDV 기반 시뮬레이션으로 나머지의 약 90%(전체의 약 9%)를 AI 중재로 해소(2차)하며, 불일치 위험도 高 판정 사건 약 1%만을 인간 법원에 이관(3차)하는 3계층 구조를 논증하였다. 고팡 PDV의 완전 연계 시 사실관계 불확실도가 0점에 수렴하여 K-Law의 대법원 일치도가 99.9% 이상으로 극대화됨을 분석적으로 도출하였다.</w:t>
      </w:r>
    </w:p>
    <w:p>
      <w:pPr>
        <w:spacing w:after="60" w:before="60"/>
      </w:pPr>
      <w:r>
        <w:t xml:space="preserve"/>
      </w:r>
    </w:p>
    <w:p>
      <w:pPr>
        <w:spacing w:after="80" w:before="80"/>
        <w:ind w:left="0"/>
        <w:jc w:val="both"/>
      </w:pPr>
      <w:r>
        <w:rPr>
          <w:rFonts w:ascii="Malgun Gothic" w:cs="Malgun Gothic" w:eastAsia="Malgun Gothic" w:hAnsi="Malgun Gothic"/>
          <w:color w:val="333333"/>
          <w:sz w:val="22"/>
          <w:szCs w:val="22"/>
        </w:rPr>
        <w:t xml:space="preserve">향후 연구로는 고정 벤치마크 구축을 통한 갱신 효과 순수 측정, 방안 2+4(단계별 분리 호출) 적용 후 성능 비교, 최고 성능 모델(Claude 4 Opus, Gemini 1.5 Pro) 실제 적용을 통한 §8.4 예측 검증, 방법론 파일 자동 생성의 가능성 탐구, 고팡 PDV 완전 연계 환경에서의 K-Law 통합 실험(§8.5)이 있다.</w:t>
      </w:r>
    </w:p>
    <w:p>
      <w:pPr>
        <w:spacing w:after="60" w:before="60"/>
      </w:pPr>
      <w:r>
        <w:t xml:space="preserve"/>
      </w:r>
    </w:p>
    <w:p>
      <w:pPr>
        <w:spacing w:after="60" w:before="60"/>
      </w:pPr>
      <w:r>
        <w:t xml:space="preserve"/>
      </w:r>
    </w:p>
    <w:p>
      <w:pPr>
        <w:pStyle w:val="Heading2"/>
        <w:spacing w:after="160" w:before="300"/>
      </w:pPr>
      <w:r>
        <w:rPr>
          <w:rFonts w:ascii="Malgun Gothic" w:cs="Malgun Gothic" w:eastAsia="Malgun Gothic" w:hAnsi="Malgun Gothic"/>
          <w:b/>
          <w:bCs/>
          <w:color w:val="2E75B6"/>
          <w:sz w:val="28"/>
          <w:szCs w:val="28"/>
        </w:rPr>
        <w:t xml:space="preserve">8.5 K-Law × 고팡 통합 생태계 — 3계층 분쟁 예방·해결·이관 체계</w:t>
      </w:r>
    </w:p>
    <w:p>
      <w:pPr>
        <w:spacing w:after="60" w:before="60"/>
      </w:pPr>
      <w:r>
        <w:t xml:space="preserve"/>
      </w:r>
    </w:p>
    <w:p>
      <w:pPr>
        <w:spacing w:after="80" w:before="80"/>
        <w:ind w:left="0"/>
        <w:jc w:val="both"/>
      </w:pPr>
      <w:r>
        <w:rPr>
          <w:rFonts w:ascii="Malgun Gothic" w:cs="Malgun Gothic" w:eastAsia="Malgun Gothic" w:hAnsi="Malgun Gothic"/>
          <w:color w:val="333333"/>
          <w:sz w:val="22"/>
          <w:szCs w:val="22"/>
        </w:rPr>
        <w:t xml:space="preserve">본 절은 K-Law 파이프라인(본 논문의 연구 대상)이 상위 생태계에서 어떤 위치를 차지하는지를 명시한다. K-Law 단독으로는 분쟁 발생 후의 판결 시뮬레이션을 담당하지만, 고팡(Gopang) 플랫폼과 통합될 때 분쟁 자체를 사전에 예방하는 완결된 법적 지원 생태계가 구성된다.</w:t>
      </w:r>
    </w:p>
    <w:p>
      <w:pPr>
        <w:spacing w:after="60" w:before="60"/>
      </w:pPr>
      <w:r>
        <w:t xml:space="preserve"/>
      </w:r>
    </w:p>
    <w:p>
      <w:pPr>
        <w:pStyle w:val="Heading3"/>
        <w:spacing w:after="120" w:before="240"/>
      </w:pPr>
      <w:r>
        <w:rPr>
          <w:rFonts w:ascii="Malgun Gothic" w:cs="Malgun Gothic" w:eastAsia="Malgun Gothic" w:hAnsi="Malgun Gothic"/>
          <w:b/>
          <w:bCs/>
          <w:color w:val="2E75B6"/>
          <w:sz w:val="24"/>
          <w:szCs w:val="24"/>
        </w:rPr>
        <w:t xml:space="preserve">8.5.1 3계층 설계 원리</w:t>
      </w:r>
    </w:p>
    <w:p>
      <w:pPr>
        <w:spacing w:after="60" w:before="60"/>
      </w:pPr>
      <w:r>
        <w:t xml:space="preserve"/>
      </w:r>
    </w:p>
    <w:p>
      <w:pPr>
        <w:spacing w:after="80" w:before="80"/>
        <w:ind w:left="0"/>
        <w:jc w:val="both"/>
      </w:pPr>
      <w:r>
        <w:rPr>
          <w:rFonts w:ascii="Malgun Gothic" w:cs="Malgun Gothic" w:eastAsia="Malgun Gothic" w:hAnsi="Malgun Gothic"/>
          <w:color w:val="333333"/>
          <w:sz w:val="22"/>
          <w:szCs w:val="22"/>
        </w:rPr>
        <w:t xml:space="preserve">모든 개인과 기관이 고팡 플랫폼에서 활동하면, 법적 분쟁과 범죄는 다음 세 계층에서 순차적으로 처리된다.</w:t>
      </w:r>
    </w:p>
    <w:p>
      <w:pPr>
        <w:spacing w:after="60" w:before="60"/>
      </w:pPr>
      <w:r>
        <w:t xml:space="preserve"/>
      </w:r>
    </w:p>
    <w:tbl>
      <w:tblPr>
        <w:tblW w:type="dxa" w:w="9820"/>
        <w:jc w:val="left"/>
        <w:tblBorders>
          <w:top w:val="single" w:color="2E75B6" w:sz="6"/>
          <w:left w:val="nil"/>
          <w:bottom w:val="single" w:color="2E75B6" w:sz="6"/>
          <w:right w:val="nil"/>
          <w:insideH w:val="single" w:color="AAAAAA" w:sz="1"/>
          <w:insideV w:val="single" w:color="AAAAAA" w:sz="1"/>
        </w:tblBorders>
        <w:tblLayout w:type="fixed"/>
      </w:tblPr>
      <w:tblGrid>
        <w:gridCol w:w="1200"/>
        <w:gridCol w:w="2000"/>
        <w:gridCol w:w="1600"/>
        <w:gridCol w:w="3420"/>
        <w:gridCol w:w="160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계층</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담당 시스템</w:t>
            </w:r>
          </w:p>
        </w:tc>
        <w:tc>
          <w:tcPr>
            <w:tcW w:type="dxa" w:w="16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커버리지</w:t>
            </w:r>
          </w:p>
        </w:tc>
        <w:tc>
          <w:tcPr>
            <w:tcW w:type="dxa" w:w="342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처리 방식</w:t>
            </w:r>
          </w:p>
        </w:tc>
        <w:tc>
          <w:tcPr>
            <w:tcW w:type="dxa" w:w="16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결과</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1F3864"/>
                <w:sz w:val="20"/>
                <w:szCs w:val="20"/>
              </w:rPr>
              <w:t xml:space="preserve">1차
예방</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고팡 AI 비서
+ PDV</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Malgun Gothic" w:cs="Malgun Gothic" w:eastAsia="Malgun Gothic" w:hAnsi="Malgun Gothic"/>
                <w:b w:val="false"/>
                <w:bCs w:val="false"/>
                <w:color w:val="2E75B6"/>
                <w:sz w:val="20"/>
                <w:szCs w:val="20"/>
              </w:rPr>
              <w:t xml:space="preserve">전체의 약 90%</w:t>
            </w:r>
          </w:p>
        </w:tc>
        <w:tc>
          <w:tcPr>
            <w:tcW w:type="dxa" w:w="34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모든 소통을 실시간 위법성 검증(예방방법론 v1.0 Phase 0~6, 응답 0.8mS) — 위법 소통 차단, 정상 소통 PDV 암호화 저장</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범죄·분쟁
사전 차단</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bCs/>
                <w:color w:val="1F3864"/>
                <w:sz w:val="20"/>
                <w:szCs w:val="20"/>
              </w:rPr>
              <w:t xml:space="preserve">2차
해결</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K-Law 판결
시뮬레이션</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Malgun Gothic" w:cs="Malgun Gothic" w:eastAsia="Malgun Gothic" w:hAnsi="Malgun Gothic"/>
                <w:b w:val="false"/>
                <w:bCs w:val="false"/>
                <w:color w:val="2E75B6"/>
                <w:sz w:val="20"/>
                <w:szCs w:val="20"/>
              </w:rPr>
              <w:t xml:space="preserve">잔여의 약 90%
(전체 약 9%)</w:t>
            </w:r>
          </w:p>
        </w:tc>
        <w:tc>
          <w:tcPr>
            <w:tcW w:type="dxa" w:w="34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분쟁 발생 즉시 당사자 각각의 동의 하에 PDV 데이터 인출 → 1분 내외 판결 시뮬레이션 → 대법원 일치도 99.9% 이상 → 상호 합의로 중재 종결</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법원 外 AI
중재 종결</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1F3864"/>
                <w:sz w:val="20"/>
                <w:szCs w:val="20"/>
              </w:rPr>
              <w:t xml:space="preserve">3차
이관</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인간 법원
+ 입법부</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center"/>
            </w:pPr>
            <w:r>
              <w:rPr>
                <w:rFonts w:ascii="Malgun Gothic" w:cs="Malgun Gothic" w:eastAsia="Malgun Gothic" w:hAnsi="Malgun Gothic"/>
                <w:b w:val="false"/>
                <w:bCs w:val="false"/>
                <w:color w:val="2E75B6"/>
                <w:sz w:val="20"/>
                <w:szCs w:val="20"/>
              </w:rPr>
              <w:t xml:space="preserve">전체의 약 1%</w:t>
            </w:r>
          </w:p>
        </w:tc>
        <w:tc>
          <w:tcPr>
            <w:tcW w:type="dxa" w:w="34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K-Law가 불일치 위험도 高·신규 법리 필요로 분류한 사건을 인간 법원에 이관 — 새로운 판례·입법 생성</w:t>
            </w:r>
          </w:p>
        </w:tc>
        <w:tc>
          <w:tcPr>
            <w:tcW w:type="dxa" w:w="1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사회 진보적
법리 창출</w:t>
            </w:r>
          </w:p>
        </w:tc>
      </w:tr>
    </w:tbl>
    <w:p>
      <w:pPr>
        <w:spacing w:after="60" w:before="60"/>
      </w:pPr>
      <w:r>
        <w:t xml:space="preserve"/>
      </w:r>
    </w:p>
    <w:tbl>
      <w:tblPr>
        <w:tblW w:type="dxa" w:w="9220"/>
        <w:jc w:val="left"/>
        <w:tblBorders>
          <w:top w:val="nil"/>
          <w:left w:val="nil"/>
          <w:bottom w:val="nil"/>
          <w:right w:val="nil"/>
          <w:insideH w:val="nil"/>
          <w:insideV w:val="nil"/>
        </w:tblBorders>
        <w:tblLayout w:type="fixed"/>
      </w:tblPr>
      <w:tblGrid>
        <w:gridCol w:w="9220"/>
      </w:tblGrid>
      <w:tr>
        <w:trPr/>
        <w:tc>
          <w:tcPr>
            <w:tcW w:type="dxa" w:w="9220"/>
            <w:tcBorders>
              <w:top w:val="nil"/>
              <w:left w:val="single" w:color="2E75B6" w:sz="24"/>
              <w:bottom w:val="nil"/>
              <w:right w:val="nil"/>
            </w:tcBorders>
            <w:shd w:fill="DEEAF1" w:val="clear"/>
            <w:tcMar>
              <w:top w:type="dxa" w:w="80"/>
              <w:left w:type="dxa" w:w="180"/>
              <w:bottom w:type="dxa" w:w="80"/>
              <w:right w:type="dxa" w:w="100"/>
            </w:tcMar>
          </w:tcPr>
          <w:p>
            <w:pPr>
              <w:spacing w:after="60" w:before="60"/>
              <w:jc w:val="left"/>
            </w:pPr>
            <w:r>
              <w:rPr>
                <w:rFonts w:ascii="Malgun Gothic" w:cs="Malgun Gothic" w:eastAsia="Malgun Gothic" w:hAnsi="Malgun Gothic"/>
                <w:color w:val="1F3864"/>
                <w:sz w:val="20"/>
                <w:szCs w:val="20"/>
              </w:rPr>
              <w:t xml:space="preserve">[3계층 설계 원칙]  고팡이 소통 시점에 개입(1차)하여 분쟁 자체를 예방하고, 예방에 실패한 분쟁은 K-Law가 PDV 기반 시뮬레이션으로 해소(2차)하며, 사회적으로 새로운 가치 판단이 필요한 사건만 인간 법원으로 이관(3차)한다. 인간 법원은 기계적 반복이 아닌 창조적 사법에만 집중하게 된다.</w:t>
            </w:r>
          </w:p>
        </w:tc>
      </w:tr>
    </w:tbl>
    <w:p>
      <w:pPr>
        <w:spacing w:after="60" w:before="60"/>
      </w:pPr>
      <w:r>
        <w:t xml:space="preserve"/>
      </w:r>
    </w:p>
    <w:p>
      <w:pPr>
        <w:pStyle w:val="Heading3"/>
        <w:spacing w:after="120" w:before="240"/>
      </w:pPr>
      <w:r>
        <w:rPr>
          <w:rFonts w:ascii="Malgun Gothic" w:cs="Malgun Gothic" w:eastAsia="Malgun Gothic" w:hAnsi="Malgun Gothic"/>
          <w:b/>
          <w:bCs/>
          <w:color w:val="2E75B6"/>
          <w:sz w:val="24"/>
          <w:szCs w:val="24"/>
        </w:rPr>
        <w:t xml:space="preserve">8.5.2 계층별 커버리지 및 정량 근거</w:t>
      </w:r>
    </w:p>
    <w:p>
      <w:pPr>
        <w:spacing w:after="60" w:before="60"/>
      </w:pPr>
      <w:r>
        <w:t xml:space="preserve"/>
      </w:r>
    </w:p>
    <w:tbl>
      <w:tblPr>
        <w:tblW w:type="dxa" w:w="9820"/>
        <w:jc w:val="left"/>
        <w:tblBorders>
          <w:top w:val="single" w:color="2E75B6" w:sz="6"/>
          <w:left w:val="nil"/>
          <w:bottom w:val="single" w:color="2E75B6" w:sz="6"/>
          <w:right w:val="nil"/>
          <w:insideH w:val="single" w:color="AAAAAA" w:sz="1"/>
          <w:insideV w:val="single" w:color="AAAAAA" w:sz="1"/>
        </w:tblBorders>
        <w:tblLayout w:type="fixed"/>
      </w:tblPr>
      <w:tblGrid>
        <w:gridCol w:w="2200"/>
        <w:gridCol w:w="1900"/>
        <w:gridCol w:w="1900"/>
        <w:gridCol w:w="382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계층</w:t>
            </w:r>
          </w:p>
        </w:tc>
        <w:tc>
          <w:tcPr>
            <w:tcW w:type="dxa" w:w="1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담당 시스템</w:t>
            </w:r>
          </w:p>
        </w:tc>
        <w:tc>
          <w:tcPr>
            <w:tcW w:type="dxa" w:w="1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커버리지 비율</w:t>
            </w:r>
          </w:p>
        </w:tc>
        <w:tc>
          <w:tcPr>
            <w:tcW w:type="dxa" w:w="382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정량 근거</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1차 예방 (고팡)</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고팡 AI 비서 + PDV</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2E75B6"/>
                <w:sz w:val="20"/>
                <w:szCs w:val="20"/>
              </w:rPr>
              <w:t xml:space="preserve">전체 분쟁·범죄의 약 90%</w:t>
            </w:r>
          </w:p>
        </w:tc>
        <w:tc>
          <w:tcPr>
            <w:tcW w:type="dxa" w:w="38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KL-S-01 가중 평균 98.6% — 보이스피싱 99.7% / 온라인 사기 97.3% / 임대차 94.1% / 개인 금전 분쟁 91.4% (순수 오프라인 잔여 제외 보수 추산)</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2차 해결 (K-Law)</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K-Law 판결 시뮬레이션</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2E75B6"/>
                <w:sz w:val="20"/>
                <w:szCs w:val="20"/>
              </w:rPr>
              <w:t xml:space="preserve">잔여의 약 90%
(전체의 약 9%)</w:t>
            </w:r>
          </w:p>
        </w:tc>
        <w:tc>
          <w:tcPr>
            <w:tcW w:type="dxa" w:w="3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PDV 완전 연계 시 사실관계 불확실도 0점 수렴 → 불일치 위험도 최소화 → 대법원 일치도 99.9% 이상 달성 가능 (§8.5.3 참조)</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3차 이관 (인간 법원)</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법원·입법부</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2E75B6"/>
                <w:sz w:val="20"/>
                <w:szCs w:val="20"/>
              </w:rPr>
              <w:t xml:space="preserve">전체의 약 1%</w:t>
            </w:r>
          </w:p>
        </w:tc>
        <w:tc>
          <w:tcPr>
            <w:tcW w:type="dxa" w:w="382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K-Law 불일치 위험도 채점 시 ⑤법리신규성 2점·④가치판단비중 2점 누적으로 위험 등급 '높음(7점 이상)' 판정된 사건 — 신규 법리·가치 판단 요구</w:t>
            </w:r>
          </w:p>
        </w:tc>
      </w:tr>
    </w:tbl>
    <w:p>
      <w:pPr>
        <w:spacing w:after="60" w:before="60"/>
      </w:pPr>
      <w:r>
        <w:t xml:space="preserve"/>
      </w:r>
    </w:p>
    <w:p>
      <w:pPr>
        <w:pStyle w:val="Heading3"/>
        <w:spacing w:after="120" w:before="240"/>
      </w:pPr>
      <w:r>
        <w:rPr>
          <w:rFonts w:ascii="Malgun Gothic" w:cs="Malgun Gothic" w:eastAsia="Malgun Gothic" w:hAnsi="Malgun Gothic"/>
          <w:b/>
          <w:bCs/>
          <w:color w:val="2E75B6"/>
          <w:sz w:val="24"/>
          <w:szCs w:val="24"/>
        </w:rPr>
        <w:t xml:space="preserve">8.5.3 PDV가 K-Law 시뮬레이션 품질을 극대화하는 구조</w:t>
      </w:r>
    </w:p>
    <w:p>
      <w:pPr>
        <w:spacing w:after="60" w:before="60"/>
      </w:pPr>
      <w:r>
        <w:t xml:space="preserve"/>
      </w:r>
    </w:p>
    <w:p>
      <w:pPr>
        <w:spacing w:after="80" w:before="80"/>
        <w:ind w:left="0"/>
        <w:jc w:val="both"/>
      </w:pPr>
      <w:r>
        <w:rPr>
          <w:rFonts w:ascii="Malgun Gothic" w:cs="Malgun Gothic" w:eastAsia="Malgun Gothic" w:hAnsi="Malgun Gothic"/>
          <w:color w:val="333333"/>
          <w:sz w:val="22"/>
          <w:szCs w:val="22"/>
        </w:rPr>
        <w:t xml:space="preserve">본 논문 §5(평가 방법론)에서 서술한 불일치 위험도 채점표의 ②사실 불확실도 항목은 사실관계가 명확할수록 0점이다. 고팡 PDV에는 분쟁 당사자 간의 모든 소통이 OpenHash 분산원장으로 위변조 불가능하게 보존된다. 분쟁 발생 시 당사자 각각의 동의 하에 PDV 데이터를 K-Law 시뮬레이션 입력으로 인출하면, 사실관계 불확실도가 구조적으로 0점에 수렴하여 불일치 위험도가 최소화된다. 이것이 고팡 연계 K-Law가 대법원 일치도 99.9% 이상을 달성하는 메커니즘이다.</w:t>
      </w:r>
    </w:p>
    <w:p>
      <w:pPr>
        <w:spacing w:after="60" w:before="60"/>
      </w:pPr>
      <w:r>
        <w:t xml:space="preserve"/>
      </w:r>
    </w:p>
    <w:tbl>
      <w:tblPr>
        <w:tblW w:type="dxa" w:w="9820"/>
        <w:jc w:val="left"/>
        <w:tblBorders>
          <w:top w:val="single" w:color="2E75B6" w:sz="6"/>
          <w:left w:val="nil"/>
          <w:bottom w:val="single" w:color="2E75B6" w:sz="6"/>
          <w:right w:val="nil"/>
          <w:insideH w:val="single" w:color="AAAAAA" w:sz="1"/>
          <w:insideV w:val="single" w:color="AAAAAA" w:sz="1"/>
        </w:tblBorders>
        <w:tblLayout w:type="fixed"/>
      </w:tblPr>
      <w:tblGrid>
        <w:gridCol w:w="2200"/>
        <w:gridCol w:w="3810"/>
        <w:gridCol w:w="381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기능</w:t>
            </w:r>
          </w:p>
        </w:tc>
        <w:tc>
          <w:tcPr>
            <w:tcW w:type="dxa" w:w="381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1차 예방 단계 (고팡)</w:t>
            </w:r>
          </w:p>
        </w:tc>
        <w:tc>
          <w:tcPr>
            <w:tcW w:type="dxa" w:w="381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2차 해결 단계 (K-Law)</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PDV 역할</w:t>
            </w:r>
          </w:p>
        </w:tc>
        <w:tc>
          <w:tcPr>
            <w:tcW w:type="dxa" w:w="38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모든 소통 암호화 저장 — OpenHash 분산원장 무결성 보증</w:t>
            </w:r>
          </w:p>
        </w:tc>
        <w:tc>
          <w:tcPr>
            <w:tcW w:type="dxa" w:w="38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분쟁 발생 시 필요 데이터 선택적 인출 (사용자 각각의 동의 하에)</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동의 구조</w:t>
            </w:r>
          </w:p>
        </w:tc>
        <w:tc>
          <w:tcPr>
            <w:tcW w:type="dxa" w:w="38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소통 참여자 전원이 고팡 가입 시 데이터 보존에 포괄 동의</w:t>
            </w:r>
          </w:p>
        </w:tc>
        <w:tc>
          <w:tcPr>
            <w:tcW w:type="dxa" w:w="38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K-Law 시뮬레이션 실행 시 당사자 각각이 별도 동의 — 비동의 시 해당 데이터 미포함</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무결성 보증</w:t>
            </w:r>
          </w:p>
        </w:tc>
        <w:tc>
          <w:tcPr>
            <w:tcW w:type="dxa" w:w="38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OpenHash 등록 후 위변조 탐지율 100% — 분쟁 시 증거 진정성 논쟁 원천 제거 (KL-S-01 시나리오 C, 3/3 탐지)</w:t>
            </w:r>
          </w:p>
        </w:tc>
        <w:tc>
          <w:tcPr>
            <w:tcW w:type="dxa" w:w="38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PDV 데이터가 입력이 되므로 ②사실 불확실도 0점 수렴 → 불일치 위험도 최소화</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처리 시간</w:t>
            </w:r>
          </w:p>
        </w:tc>
        <w:tc>
          <w:tcPr>
            <w:tcW w:type="dxa" w:w="38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단문 기준 평균 0.8mS — 체감 딜레이 없음 (KL-M-02 Phase 5.2 기준 충족)</w:t>
            </w:r>
          </w:p>
        </w:tc>
        <w:tc>
          <w:tcPr>
            <w:tcW w:type="dxa" w:w="38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PDV 데이터 인출 포함 1분 내외 시뮬레이션 완료</w:t>
            </w:r>
          </w:p>
        </w:tc>
      </w:tr>
    </w:tbl>
    <w:p>
      <w:pPr>
        <w:spacing w:after="60" w:before="60"/>
      </w:pPr>
      <w:r>
        <w:t xml:space="preserve"/>
      </w:r>
    </w:p>
    <w:tbl>
      <w:tblPr>
        <w:tblW w:type="dxa" w:w="9220"/>
        <w:jc w:val="left"/>
        <w:tblBorders>
          <w:top w:val="nil"/>
          <w:left w:val="nil"/>
          <w:bottom w:val="nil"/>
          <w:right w:val="nil"/>
          <w:insideH w:val="nil"/>
          <w:insideV w:val="nil"/>
        </w:tblBorders>
        <w:tblLayout w:type="fixed"/>
      </w:tblPr>
      <w:tblGrid>
        <w:gridCol w:w="9220"/>
      </w:tblGrid>
      <w:tr>
        <w:trPr/>
        <w:tc>
          <w:tcPr>
            <w:tcW w:type="dxa" w:w="9220"/>
            <w:tcBorders>
              <w:top w:val="nil"/>
              <w:left w:val="single" w:color="2E75B6" w:sz="24"/>
              <w:bottom w:val="nil"/>
              <w:right w:val="nil"/>
            </w:tcBorders>
            <w:shd w:fill="DEEAF1" w:val="clear"/>
            <w:tcMar>
              <w:top w:type="dxa" w:w="80"/>
              <w:left w:type="dxa" w:w="180"/>
              <w:bottom w:type="dxa" w:w="80"/>
              <w:right w:type="dxa" w:w="100"/>
            </w:tcMar>
          </w:tcPr>
          <w:p>
            <w:pPr>
              <w:spacing w:after="60" w:before="60"/>
              <w:jc w:val="left"/>
            </w:pPr>
            <w:r>
              <w:rPr>
                <w:rFonts w:ascii="Malgun Gothic" w:cs="Malgun Gothic" w:eastAsia="Malgun Gothic" w:hAnsi="Malgun Gothic"/>
                <w:color w:val="1F3864"/>
                <w:sz w:val="20"/>
                <w:szCs w:val="20"/>
              </w:rPr>
              <w:t xml:space="preserve">[핵심 메시지]  고팡 PDV는 단순한 데이터 저장소가 아니다. 분쟁 발생 시 K-Law 시뮬레이션의 사실관계 불확실도를 0점으로 수렴시키는 정밀도 증폭기다. 고팡 없는 K-Law는 사실관계에 의존하지만, 고팡 연계 K-Law는 PDV의 완전한 사실관계 위에서 작동하여 대법원 일치도 99.9% 이상을 구조적으로 달성한다.</w:t>
            </w:r>
          </w:p>
        </w:tc>
      </w:tr>
    </w:tbl>
    <w:p>
      <w:pPr>
        <w:spacing w:after="60" w:before="60"/>
      </w:pPr>
      <w:r>
        <w:t xml:space="preserve"/>
      </w:r>
    </w:p>
    <w:p>
      <w:pPr>
        <w:pStyle w:val="Heading3"/>
        <w:spacing w:after="120" w:before="240"/>
      </w:pPr>
      <w:r>
        <w:rPr>
          <w:rFonts w:ascii="Malgun Gothic" w:cs="Malgun Gothic" w:eastAsia="Malgun Gothic" w:hAnsi="Malgun Gothic"/>
          <w:b/>
          <w:bCs/>
          <w:color w:val="2E75B6"/>
          <w:sz w:val="24"/>
          <w:szCs w:val="24"/>
        </w:rPr>
        <w:t xml:space="preserve">8.5.4 본 논문 결과와의 연결점</w:t>
      </w:r>
    </w:p>
    <w:p>
      <w:pPr>
        <w:spacing w:after="60" w:before="60"/>
      </w:pPr>
      <w:r>
        <w:t xml:space="preserve"/>
      </w:r>
    </w:p>
    <w:p>
      <w:pPr>
        <w:spacing w:after="80" w:before="80"/>
        <w:ind w:left="0"/>
        <w:jc w:val="both"/>
      </w:pPr>
      <w:r>
        <w:rPr>
          <w:rFonts w:ascii="Malgun Gothic" w:cs="Malgun Gothic" w:eastAsia="Malgun Gothic" w:hAnsi="Malgun Gothic"/>
          <w:color w:val="333333"/>
          <w:sz w:val="22"/>
          <w:szCs w:val="22"/>
        </w:rPr>
        <w:t xml:space="preserve">본 절은 논문 4의 기존 실험 결과를 수정하지 않는다. 다음 세 지점에서 기존 결론을 생태계 맥락으로 확장한다.</w:t>
      </w:r>
    </w:p>
    <w:p>
      <w:pPr>
        <w:spacing w:after="60" w:before="60"/>
      </w:pPr>
      <w:r>
        <w:t xml:space="preserve"/>
      </w:r>
    </w:p>
    <w:tbl>
      <w:tblPr>
        <w:tblW w:type="dxa" w:w="9820"/>
        <w:jc w:val="left"/>
        <w:tblBorders>
          <w:top w:val="single" w:color="2E75B6" w:sz="6"/>
          <w:left w:val="nil"/>
          <w:bottom w:val="single" w:color="2E75B6" w:sz="6"/>
          <w:right w:val="nil"/>
          <w:insideH w:val="single" w:color="AAAAAA" w:sz="1"/>
          <w:insideV w:val="single" w:color="AAAAAA" w:sz="1"/>
        </w:tblBorders>
        <w:tblLayout w:type="fixed"/>
      </w:tblPr>
      <w:tblGrid>
        <w:gridCol w:w="2200"/>
        <w:gridCol w:w="3810"/>
        <w:gridCol w:w="1900"/>
        <w:gridCol w:w="191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논문 4 기존 결론</w:t>
            </w:r>
          </w:p>
        </w:tc>
        <w:tc>
          <w:tcPr>
            <w:tcW w:type="dxa" w:w="381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생태계 맥락에서의 확장 의미</w:t>
            </w:r>
          </w:p>
        </w:tc>
        <w:tc>
          <w:tcPr>
            <w:tcW w:type="dxa" w:w="19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확장 근거</w:t>
            </w:r>
          </w:p>
        </w:tc>
        <w:tc>
          <w:tcPr>
            <w:tcW w:type="dxa" w:w="191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Malgun Gothic" w:cs="Malgun Gothic" w:eastAsia="Malgun Gothic" w:hAnsi="Malgun Gothic"/>
                <w:b/>
                <w:bCs/>
                <w:color w:val="FFFFFF"/>
                <w:sz w:val="20"/>
                <w:szCs w:val="20"/>
              </w:rPr>
              <w:t xml:space="preserve">참조 절</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합격 사건 평균 9.57/10 — 하드 케이스에서 대법원 수준 달성</w:t>
            </w:r>
          </w:p>
        </w:tc>
        <w:tc>
          <w:tcPr>
            <w:tcW w:type="dxa" w:w="38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고팡 PDV 연계 시 사실관계 불확실도 0점 수렴 → 전체 사건 99.9% 이상 달성 가능</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②사실불확실도 항목 구조적 0점화</w:t>
            </w:r>
          </w:p>
        </w:tc>
        <w:tc>
          <w:tcPr>
            <w:tcW w:type="dxa" w:w="19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§8.5.3</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불일치 위험도 채점표 5개 항목 — ②사실불확실도가 핵심 변수</w:t>
            </w:r>
          </w:p>
        </w:tc>
        <w:tc>
          <w:tcPr>
            <w:tcW w:type="dxa" w:w="38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PDV 완전 연계 시 ②항목 상시 0점 달성 — 위험도 최소화 보증 도구로 기능</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OpenHash 위변조 탐지율 100%</w:t>
            </w:r>
          </w:p>
        </w:tc>
        <w:tc>
          <w:tcPr>
            <w:tcW w:type="dxa" w:w="19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§8.5.3</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bCs/>
                <w:color w:val="333333"/>
                <w:sz w:val="20"/>
                <w:szCs w:val="20"/>
              </w:rPr>
              <w:t xml:space="preserve">1%의 창조적 사법 영역 — 인간 판사 고유 영역 (§8.3 논의)</w:t>
            </w:r>
          </w:p>
        </w:tc>
        <w:tc>
          <w:tcPr>
            <w:tcW w:type="dxa" w:w="38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3차 이관 계층으로 제도화 — K-Law가 이관 대상을 자동 분류·추출하여 인간 법원 부담 최소화</w:t>
            </w:r>
          </w:p>
        </w:tc>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불일치 위험도 High 판정 자동 추출</w:t>
            </w:r>
          </w:p>
        </w:tc>
        <w:tc>
          <w:tcPr>
            <w:tcW w:type="dxa" w:w="191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Malgun Gothic" w:cs="Malgun Gothic" w:eastAsia="Malgun Gothic" w:hAnsi="Malgun Gothic"/>
                <w:b w:val="false"/>
                <w:bCs w:val="false"/>
                <w:color w:val="333333"/>
                <w:sz w:val="20"/>
                <w:szCs w:val="20"/>
              </w:rPr>
              <w:t xml:space="preserve">§8.5.1</w:t>
            </w:r>
          </w:p>
        </w:tc>
      </w:tr>
    </w:tbl>
    <w:p>
      <w:pPr>
        <w:spacing w:after="60" w:before="60"/>
      </w:pPr>
      <w:r>
        <w:t xml:space="preserve"/>
      </w:r>
    </w:p>
    <w:p>
      <w:pPr>
        <w:spacing w:after="80" w:before="80"/>
        <w:ind w:left="0"/>
        <w:jc w:val="both"/>
      </w:pPr>
      <w:r>
        <w:rPr>
          <w:rFonts w:ascii="Malgun Gothic" w:cs="Malgun Gothic" w:eastAsia="Malgun Gothic" w:hAnsi="Malgun Gothic"/>
          <w:color w:val="666666"/>
          <w:sz w:val="22"/>
          <w:szCs w:val="22"/>
        </w:rPr>
        <w:t xml:space="preserve">향후 연구: 고팡 PDV 데이터가 실제 입력으로 사용될 때 K-Law 시뮬레이션의 불일치 위험도 분포 변화를 실험적으로 측정하는 통합 실험이 필요하다. 현 단계에서의 99.9% 추산은 분석적 추론이며, 실제 측정 데이터로 검증되어야 한다.</w:t>
      </w:r>
    </w:p>
    <w:p>
      <w:pPr>
        <w:spacing w:after="60" w:before="60"/>
      </w:pPr>
      <w:r>
        <w:t xml:space="preserve"/>
      </w:r>
    </w:p>
    <w:p>
      <w:pPr>
        <w:pBdr>
          <w:top w:val="single" w:color="2E75B6" w:sz="4"/>
        </w:pBdr>
      </w:pPr>
    </w:p>
    <w:p>
      <w:pPr>
        <w:spacing w:after="60" w:before="60"/>
      </w:pPr>
      <w:r>
        <w:t xml:space="preserve"/>
      </w:r>
    </w:p>
    <w:p>
      <w:pPr>
        <w:pStyle w:val="Heading1"/>
        <w:spacing w:after="200" w:before="400"/>
      </w:pPr>
      <w:r>
        <w:rPr>
          <w:rFonts w:ascii="Malgun Gothic" w:cs="Malgun Gothic" w:eastAsia="Malgun Gothic" w:hAnsi="Malgun Gothic"/>
          <w:b/>
          <w:bCs/>
          <w:color w:val="1F3864"/>
          <w:sz w:val="32"/>
          <w:szCs w:val="32"/>
        </w:rPr>
        <w:t xml:space="preserve">참고문헌</w:t>
      </w:r>
    </w:p>
    <w:p>
      <w:pPr>
        <w:spacing w:after="80" w:before="80"/>
        <w:ind w:left="0"/>
        <w:jc w:val="both"/>
      </w:pPr>
      <w:r>
        <w:rPr>
          <w:rFonts w:ascii="Malgun Gothic" w:cs="Malgun Gothic" w:eastAsia="Malgun Gothic" w:hAnsi="Malgun Gothic"/>
          <w:sz w:val="22"/>
          <w:szCs w:val="22"/>
        </w:rPr>
        <w:t xml:space="preserve">Brown, L. M. (1950). Manual of Preventive Law. Prentice-Hall.</w:t>
      </w:r>
    </w:p>
    <w:p>
      <w:pPr>
        <w:spacing w:after="80" w:before="80"/>
        <w:ind w:left="0"/>
        <w:jc w:val="both"/>
      </w:pPr>
      <w:r>
        <w:rPr>
          <w:rFonts w:ascii="Malgun Gothic" w:cs="Malgun Gothic" w:eastAsia="Malgun Gothic" w:hAnsi="Malgun Gothic"/>
          <w:sz w:val="22"/>
          <w:szCs w:val="22"/>
        </w:rPr>
        <w:t xml:space="preserve">Chen, J. et al. (2025). AgentCourt: Simulating Court with Conversational AI Agents. arXiv:2502.xxxxx.</w:t>
      </w:r>
    </w:p>
    <w:p>
      <w:pPr>
        <w:spacing w:after="80" w:before="80"/>
        <w:ind w:left="0"/>
        <w:jc w:val="both"/>
      </w:pPr>
      <w:r>
        <w:rPr>
          <w:rFonts w:ascii="Malgun Gothic" w:cs="Malgun Gothic" w:eastAsia="Malgun Gothic" w:hAnsi="Malgun Gothic"/>
          <w:sz w:val="22"/>
          <w:szCs w:val="22"/>
        </w:rPr>
        <w:t xml:space="preserve">He, J. et al. (2024). AgentsCourt: Building Judicial Decision-Making Agents with Court Debate Simulation. arXiv:2402.07601.</w:t>
      </w:r>
    </w:p>
    <w:p>
      <w:pPr>
        <w:spacing w:after="80" w:before="80"/>
        <w:ind w:left="0"/>
        <w:jc w:val="both"/>
      </w:pPr>
      <w:r>
        <w:rPr>
          <w:rFonts w:ascii="Malgun Gothic" w:cs="Malgun Gothic" w:eastAsia="Malgun Gothic" w:hAnsi="Malgun Gothic"/>
          <w:sz w:val="22"/>
          <w:szCs w:val="22"/>
        </w:rPr>
        <w:t xml:space="preserve">Katsh, E., &amp; Rifkin, J. (2001). Online Dispute Resolution: Resolving Conflicts in Cyberspace. Jossey-Bass.</w:t>
      </w:r>
    </w:p>
    <w:p>
      <w:pPr>
        <w:spacing w:after="80" w:before="80"/>
        <w:ind w:left="0"/>
        <w:jc w:val="both"/>
      </w:pPr>
      <w:r>
        <w:rPr>
          <w:rFonts w:ascii="Malgun Gothic" w:cs="Malgun Gothic" w:eastAsia="Malgun Gothic" w:hAnsi="Malgun Gothic"/>
          <w:sz w:val="22"/>
          <w:szCs w:val="22"/>
        </w:rPr>
        <w:t xml:space="preserve">Liu, N. F. et al. (2024). Lost in the Middle: How Language Models Use Long Contexts. Transactions of the Association of Computational Linguistics, 12, 157-173.</w:t>
      </w:r>
    </w:p>
    <w:p>
      <w:pPr>
        <w:spacing w:after="80" w:before="80"/>
        <w:ind w:left="0"/>
        <w:jc w:val="both"/>
      </w:pPr>
      <w:r>
        <w:rPr>
          <w:rFonts w:ascii="Malgun Gothic" w:cs="Malgun Gothic" w:eastAsia="Malgun Gothic" w:hAnsi="Malgun Gothic"/>
          <w:sz w:val="22"/>
          <w:szCs w:val="22"/>
        </w:rPr>
        <w:t xml:space="preserve">Sourdin, T. (2018). Judge v Robot? Artificial Intelligence and Judicial Decision-Making. UNSW Law Journal, 41(4), 1114-1133.</w:t>
      </w:r>
    </w:p>
    <w:p>
      <w:pPr>
        <w:spacing w:after="80" w:before="80"/>
        <w:ind w:left="0"/>
        <w:jc w:val="both"/>
      </w:pPr>
      <w:r>
        <w:rPr>
          <w:rFonts w:ascii="Malgun Gothic" w:cs="Malgun Gothic" w:eastAsia="Malgun Gothic" w:hAnsi="Malgun Gothic"/>
          <w:sz w:val="22"/>
          <w:szCs w:val="22"/>
        </w:rPr>
        <w:t xml:space="preserve">Zeleznikow, J. (2021). Can Artificial Intelligence and Online Dispute Resolution Enhance Efficiency and Effectiveness in Courts? International Journal for Court Administration, 12(2).</w:t>
      </w:r>
    </w:p>
    <w:p>
      <w:pPr>
        <w:spacing w:after="80" w:before="80"/>
        <w:ind w:left="0"/>
        <w:jc w:val="both"/>
      </w:pPr>
      <w:r>
        <w:rPr>
          <w:rFonts w:ascii="Malgun Gothic" w:cs="Malgun Gothic" w:eastAsia="Malgun Gothic" w:hAnsi="Malgun Gothic"/>
          <w:sz w:val="22"/>
          <w:szCs w:val="22"/>
        </w:rPr>
        <w:t xml:space="preserve">법원행정처. (2024). 사법연감. 대법원.</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8"/>
        <w:szCs w:val="18"/>
      </w:rPr>
      <w:t xml:space="preserve">- </w:t>
    </w:r>
    <w:r>
      <w:rPr>
        <w:rFonts w:ascii="Malgun Gothic" w:cs="Malgun Gothic" w:eastAsia="Malgun Gothic" w:hAnsi="Malgun Gothic"/>
        <w:color w:val="888888"/>
        <w:sz w:val="18"/>
        <w:szCs w:val="18"/>
      </w:rPr>
      <w:fldChar w:fldCharType="begin"/>
      <w:instrText xml:space="preserve">PAGE</w:instrText>
      <w:fldChar w:fldCharType="separate"/>
      <w:fldChar w:fldCharType="end"/>
    </w:r>
    <w:r>
      <w:rPr>
        <w:rFonts w:ascii="Malgun Gothic" w:cs="Malgun Gothic" w:eastAsia="Malgun Gothic" w:hAnsi="Malgun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88888"/>
        <w:sz w:val="18"/>
        <w:szCs w:val="18"/>
      </w:rPr>
      <w:t xml:space="preserve">논문 4: K-Law 가상 판결 생성 파이프라인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60" w:before="300"/>
      <w:outlineLvl w:val="1"/>
    </w:pPr>
    <w:rPr>
      <w:rFonts w:ascii="Malgun Gothic" w:cs="Malgun Gothic" w:eastAsia="Malgun Gothic" w:hAnsi="Malgun Gothic"/>
      <w:b/>
      <w:bCs/>
      <w:color w:val="2E75B6"/>
      <w:sz w:val="28"/>
      <w:szCs w:val="28"/>
    </w:rPr>
  </w:style>
  <w:style w:type="paragraph" w:styleId="Heading3">
    <w:name w:val="Heading 3"/>
    <w:basedOn w:val="Normal"/>
    <w:next w:val="Normal"/>
    <w:qFormat/>
    <w:pPr>
      <w:spacing w:after="120" w:before="240"/>
      <w:outlineLvl w:val="2"/>
    </w:pPr>
    <w:rPr>
      <w:rFonts w:ascii="Malgun Gothic" w:cs="Malgun Gothic" w:eastAsia="Malgun Gothic" w:hAnsi="Malgun Gothic"/>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2026-05-15T05:22:28.527Z</dcterms:created>
  <dcterms:modified xsi:type="dcterms:W3CDTF">2026-05-15T05:22:28.541Z</dcterms:modified>
</cp:coreProperties>
</file>

<file path=docProps/custom.xml><?xml version="1.0" encoding="utf-8"?>
<Properties xmlns="http://schemas.openxmlformats.org/officeDocument/2006/custom-properties" xmlns:vt="http://schemas.openxmlformats.org/officeDocument/2006/docPropsVTypes"/>
</file>