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after="0"/>
      </w:pPr>
      <w:r>
        <w:t xml:space="preserve"/>
      </w:r>
    </w:p>
    <w:p>
      <w:pPr>
        <w:spacing w:before="0" w:after="120"/>
        <w:jc w:val="center"/>
      </w:pPr>
      <w:r>
        <w:rPr>
          <w:rFonts w:ascii="Noto Serif KR" w:cs="Noto Serif KR" w:eastAsia="Noto Serif KR" w:hAnsi="Noto Serif KR"/>
          <w:b/>
          <w:bCs/>
          <w:color w:val="003087"/>
          <w:sz w:val="52"/>
          <w:szCs w:val="52"/>
        </w:rPr>
        <w:t xml:space="preserve">K-OpenLaw</w:t>
      </w:r>
    </w:p>
    <w:p>
      <w:pPr>
        <w:spacing w:before="0" w:after="200"/>
        <w:jc w:val="center"/>
      </w:pPr>
      <w:r>
        <w:rPr>
          <w:rFonts w:ascii="Noto Serif KR" w:cs="Noto Serif KR" w:eastAsia="Noto Serif KR" w:hAnsi="Noto Serif KR"/>
          <w:b/>
          <w:bCs/>
          <w:color w:val="001f5b"/>
          <w:sz w:val="30"/>
          <w:szCs w:val="30"/>
        </w:rPr>
        <w:t xml:space="preserve">이종 LLM 기반 자율 분쟁 해결 시스템의 실증적 연구</w:t>
      </w:r>
    </w:p>
    <w:p>
      <w:pPr>
        <w:spacing w:before="0" w:after="600"/>
        <w:jc w:val="center"/>
      </w:pPr>
      <w:r>
        <w:rPr>
          <w:rFonts w:ascii="Noto Serif KR" w:cs="Noto Serif KR" w:eastAsia="Noto Serif KR" w:hAnsi="Noto Serif KR"/>
          <w:i/>
          <w:iCs/>
          <w:color w:val="4A5568"/>
          <w:sz w:val="22"/>
          <w:szCs w:val="22"/>
        </w:rPr>
        <w:t xml:space="preserve">실제 민사소송 사례를 통한 법리 분석 능력 검증과 OpenHash-고팡 생태계의 분쟁 예방적 잠재력</w:t>
      </w:r>
    </w:p>
    <w:p>
      <w:pPr>
        <w:pBdr>
          <w:bottom w:val="single" w:color="C9A000" w:sz="6" w:space="0"/>
        </w:pBdr>
        <w:spacing w:before="0" w:after="400"/>
      </w:pPr>
      <w:r>
        <w:t xml:space="preserve"/>
      </w:r>
    </w:p>
    <w:p>
      <w:pPr>
        <w:spacing w:before="0" w:after="80"/>
        <w:jc w:val="center"/>
      </w:pPr>
      <w:r>
        <w:rPr>
          <w:rFonts w:ascii="Noto Serif KR" w:cs="Noto Serif KR" w:eastAsia="Noto Serif KR" w:hAnsi="Noto Serif KR"/>
          <w:i/>
          <w:iCs/>
          <w:color w:val="4A5568"/>
          <w:sz w:val="20"/>
          <w:szCs w:val="20"/>
        </w:rPr>
        <w:t xml:space="preserve">K-OpenLaw: An Empirical Study of a Heterogeneous LLM-Based Autonomous Dispute Resolution System</w:t>
      </w:r>
    </w:p>
    <w:p>
      <w:pPr>
        <w:spacing w:before="0" w:after="600"/>
        <w:jc w:val="center"/>
      </w:pPr>
      <w:r>
        <w:rPr>
          <w:rFonts w:ascii="Noto Serif KR" w:cs="Noto Serif KR" w:eastAsia="Noto Serif KR" w:hAnsi="Noto Serif KR"/>
          <w:i/>
          <w:iCs/>
          <w:color w:val="4A5568"/>
          <w:sz w:val="20"/>
          <w:szCs w:val="20"/>
        </w:rPr>
        <w:t xml:space="preserve">Validating Legal Reasoning Capability through Actual Civil Litigation and Examining the Preventive Potential of the OpenHash-Gopang Ecosystem</w:t>
      </w:r>
    </w:p>
    <w:p>
      <w:pPr>
        <w:spacing w:before="40" w:after="60"/>
        <w:jc w:val="center"/>
      </w:pPr>
      <w:r>
        <w:rPr>
          <w:rFonts w:ascii="Noto Serif KR" w:cs="Noto Serif KR" w:eastAsia="Noto Serif KR" w:hAnsi="Noto Serif KR"/>
          <w:color w:val="1A1A2E"/>
          <w:sz w:val="22"/>
          <w:szCs w:val="22"/>
        </w:rPr>
        <w:t xml:space="preserve">저자: [저자명]</w:t>
      </w:r>
    </w:p>
    <w:p>
      <w:pPr>
        <w:spacing w:before="40" w:after="60"/>
        <w:jc w:val="center"/>
      </w:pPr>
      <w:r>
        <w:rPr>
          <w:rFonts w:ascii="Noto Serif KR" w:cs="Noto Serif KR" w:eastAsia="Noto Serif KR" w:hAnsi="Noto Serif KR"/>
          <w:color w:val="1A1A2E"/>
          <w:sz w:val="22"/>
          <w:szCs w:val="22"/>
        </w:rPr>
        <w:t xml:space="preserve">소속: K-OpenLaw 연구그룹, AI City Inc.</w:t>
      </w:r>
    </w:p>
    <w:p>
      <w:pPr>
        <w:spacing w:before="80" w:after="80"/>
        <w:jc w:val="center"/>
      </w:pPr>
      <w:r>
        <w:rPr>
          <w:rFonts w:ascii="Noto Serif KR" w:cs="Noto Serif KR" w:eastAsia="Noto Serif KR" w:hAnsi="Noto Serif KR"/>
          <w:color w:val="4A5568"/>
          <w:sz w:val="20"/>
          <w:szCs w:val="20"/>
        </w:rPr>
        <w:t xml:space="preserve">버전: 3.5  |  작성일: 2026년 3월 20일</w:t>
      </w:r>
    </w:p>
    <w:p>
      <w:pPr>
        <w:pageBreakBefore/>
        <w:spacing w:before="0" w:after="0"/>
      </w:pPr>
      <w:r>
        <w:t xml:space="preserve"/>
      </w:r>
    </w:p>
    <w:p>
      <w:pPr>
        <w:pBdr>
          <w:bottom w:val="single" w:color="003087" w:sz="6" w:space="4"/>
        </w:pBdr>
        <w:spacing w:before="0" w:after="240"/>
        <w:jc w:val="center"/>
      </w:pPr>
      <w:r>
        <w:rPr>
          <w:rFonts w:ascii="Noto Serif KR" w:cs="Noto Serif KR" w:eastAsia="Noto Serif KR" w:hAnsi="Noto Serif KR"/>
          <w:b/>
          <w:bCs/>
          <w:color w:val="001f5b"/>
          <w:sz w:val="28"/>
          <w:szCs w:val="28"/>
        </w:rPr>
        <w:t xml:space="preserve">초  록</w:t>
      </w:r>
    </w:p>
    <w:p>
      <w:pPr>
        <w:spacing w:before="0" w:after="200"/>
        <w:jc w:val="center"/>
      </w:pPr>
      <w:r>
        <w:rPr>
          <w:rFonts w:ascii="Noto Serif KR" w:cs="Noto Serif KR" w:eastAsia="Noto Serif KR" w:hAnsi="Noto Serif KR"/>
          <w:i/>
          <w:iCs/>
          <w:color w:val="4A5568"/>
          <w:sz w:val="20"/>
          <w:szCs w:val="20"/>
        </w:rPr>
        <w:t xml:space="preserve">Abstract</w:t>
      </w:r>
    </w:p>
    <w:p>
      <w:pPr>
        <w:spacing w:before="60" w:after="60" w:line="340"/>
        <w:jc w:val="both"/>
      </w:pPr>
      <w:r>
        <w:rPr>
          <w:rFonts w:ascii="Noto Serif KR" w:cs="Noto Serif KR" w:eastAsia="Noto Serif KR" w:hAnsi="Noto Serif KR"/>
          <w:color w:val="1A1A2E"/>
          <w:sz w:val="20"/>
          <w:szCs w:val="20"/>
        </w:rPr>
        <w:t xml:space="preserve">배경: 전 세계 사법 시스템은 장기간의 소송, 고비용, 법리 불일치, 취약계층의 사법접근권 제한이라는 구조적 문제를 안고 있다. 온라인 분쟁 해결(ODR)과 대안적 분쟁 해결(ADR) 분야에서 기술 기반 접근이 활발히 논의되어 왔으나, 분쟁 발생 이후의 처리 효율화에 집중하고 분쟁 자체를 사전에 차단하는 예방적 접근을 충분히 탐구하지 않았다.</w:t>
      </w:r>
    </w:p>
    <w:p>
      <w:pPr>
        <w:spacing w:before="60" w:after="60"/>
      </w:pPr>
      <w:r>
        <w:t xml:space="preserve"/>
      </w:r>
    </w:p>
    <w:p>
      <w:pPr>
        <w:spacing w:before="60" w:after="60" w:line="340"/>
        <w:jc w:val="both"/>
      </w:pPr>
      <w:r>
        <w:rPr>
          <w:rFonts w:ascii="Noto Serif KR" w:cs="Noto Serif KR" w:eastAsia="Noto Serif KR" w:hAnsi="Noto Serif KR"/>
          <w:color w:val="1A1A2E"/>
          <w:sz w:val="20"/>
          <w:szCs w:val="20"/>
        </w:rPr>
        <w:t xml:space="preserve">목적: 본 연구는 이종 LLM 기반 5모듈 아키텍처로 설계된 자율 분쟁 해결 시스템 K-OpenLaw의 법리 분석 능력을 실제 민사소송 사건에 적용하여 실증적으로 검증한다. 나아가 이 검증 결과가, 모든 소통을 OpenHash 분산원장으로 무결성 보장하고 AI 비서가 위법 징후를 24시간 감지·경고하는 고팡(Gopang) 플랫폼이 대중화될 경우의 분쟁 예방적 잠재력을 어느 수준에서 간접적으로 지지하는지를 논의한다.</w:t>
      </w:r>
    </w:p>
    <w:p>
      <w:pPr>
        <w:spacing w:before="60" w:after="60"/>
      </w:pPr>
      <w:r>
        <w:t xml:space="preserve"/>
      </w:r>
    </w:p>
    <w:p>
      <w:pPr>
        <w:spacing w:before="60" w:after="60" w:line="340"/>
        <w:jc w:val="both"/>
      </w:pPr>
      <w:r>
        <w:rPr>
          <w:rFonts w:ascii="Noto Serif KR" w:cs="Noto Serif KR" w:eastAsia="Noto Serif KR" w:hAnsi="Noto Serif KR"/>
          <w:color w:val="1A1A2E"/>
          <w:sz w:val="20"/>
          <w:szCs w:val="20"/>
        </w:rPr>
        <w:t xml:space="preserve">방법: 경제적 취약계층에 속하는 자력 소송 원고 대 공기업 임대인 피고 간 임대차보증금 반환 분쟁(1심·2심 원고 패소, 대법원 상고 진행 중)에 K-OpenLaw를 적용하였다. 공정성·객관성·합리성·사실정확성·법적정당성의 5개 차원(각 100점)으로 구성된 판결 품질 평가 방법론을 적용하여 AI 생성 판결과 실제 법원 판결을 정량·정성 비교하였다. 단일 사례 연구로서의 방법론적 한계를 명시하며, 본 연구는 K-OpenLaw 시스템의 법리 분석 능력에 대한 최초의 실증적 근거를 제공하는 데 그 의의가 있다.</w:t>
      </w:r>
    </w:p>
    <w:p>
      <w:pPr>
        <w:spacing w:before="60" w:after="60"/>
      </w:pPr>
      <w:r>
        <w:t xml:space="preserve"/>
      </w:r>
    </w:p>
    <w:p>
      <w:pPr>
        <w:spacing w:before="60" w:after="60" w:line="340"/>
        <w:jc w:val="both"/>
      </w:pPr>
      <w:r>
        <w:rPr>
          <w:rFonts w:ascii="Noto Serif KR" w:cs="Noto Serif KR" w:eastAsia="Noto Serif KR" w:hAnsi="Noto Serif KR"/>
          <w:color w:val="1A1A2E"/>
          <w:sz w:val="20"/>
          <w:szCs w:val="20"/>
        </w:rPr>
        <w:t xml:space="preserve">결과: K-OpenLaw는 1심 판결에서 11개, 2심 판결에서 8개의 법리적·절차적 오류를 식별하였다. 그 중 피고가 전혀 주장하지 않은 법리를 재판부가 독자 발굴·적용한 변론주의 위반(민사소송법 제203조)은 양 심급에서 공통적으로 발견된 중대한 절차적 하자였다. 정량 평가에서 1심 판결 41점(F), 2심 판결 35점(F)에 비해 K-OpenLaw 생성 판결은 92점(A)을 달성하였다. 전체 분석 완료 시간은 45.8분이었다.</w:t>
      </w:r>
    </w:p>
    <w:p>
      <w:pPr>
        <w:spacing w:before="60" w:after="60"/>
      </w:pPr>
      <w:r>
        <w:t xml:space="preserve"/>
      </w:r>
    </w:p>
    <w:p>
      <w:pPr>
        <w:spacing w:before="60" w:after="60" w:line="340"/>
        <w:jc w:val="both"/>
      </w:pPr>
      <w:r>
        <w:rPr>
          <w:rFonts w:ascii="Noto Serif KR" w:cs="Noto Serif KR" w:eastAsia="Noto Serif KR" w:hAnsi="Noto Serif KR"/>
          <w:color w:val="1A1A2E"/>
          <w:sz w:val="20"/>
          <w:szCs w:val="20"/>
        </w:rPr>
        <w:t xml:space="preserve">결론: 본 연구는 K-OpenLaw가 복잡한 파산법·민사소송법 교차 사건에서 실제 법원 판결을 유의미하게 능가하는 법리 분석 능력을 보유하고 있음을 실증적으로 확인하였다. 이는 고팡 + OpenHash 생태계가 분쟁 예방이라는 장기적 비전을 달성하기 위한 강력한 간접 근거(indirect evidence)를 제공하나, 단일 사례 연구의 한계상 직접적 일반화는 향후 대규모 연구를 통해 검증되어야 한다.</w:t>
      </w:r>
    </w:p>
    <w:p>
      <w:pPr>
        <w:spacing w:before="60" w:after="60"/>
      </w:pPr>
      <w:r>
        <w:t xml:space="preserve"/>
      </w:r>
    </w:p>
    <w:p>
      <w:pPr>
        <w:spacing w:before="120" w:after="80"/>
        <w:jc w:val="both"/>
      </w:pPr>
      <w:r>
        <w:rPr>
          <w:rFonts w:ascii="Noto Serif KR" w:cs="Noto Serif KR" w:eastAsia="Noto Serif KR" w:hAnsi="Noto Serif KR"/>
          <w:b/>
          <w:bCs/>
          <w:color w:val="003087"/>
          <w:sz w:val="19"/>
          <w:szCs w:val="19"/>
        </w:rPr>
        <w:t xml:space="preserve">핵심어: </w:t>
      </w:r>
      <w:r>
        <w:rPr>
          <w:rFonts w:ascii="Noto Serif KR" w:cs="Noto Serif KR" w:eastAsia="Noto Serif KR" w:hAnsi="Noto Serif KR"/>
          <w:color w:val="1A1A2E"/>
          <w:sz w:val="19"/>
          <w:szCs w:val="19"/>
        </w:rPr>
        <w:t xml:space="preserve">자율 분쟁 해결, 이종 LLM, 예방 법학, 온라인 분쟁 해결(ODR), 오픈해시(OpenHash), 고팡(Gopang), 사법접근권, 변론주의, 규범 위계, 증거 무결성, 판결 품질 평가</w:t>
      </w:r>
    </w:p>
    <w:p>
      <w:pPr>
        <w:pageBreakBefore/>
      </w:pPr>
      <w:r>
        <w:t xml:space="preserve"/>
      </w:r>
    </w:p>
    <w:p>
      <w:pPr>
        <w:pStyle w:val="Heading1"/>
        <w:pBdr>
          <w:bottom w:val="single" w:color="003087" w:sz="8" w:space="4"/>
        </w:pBdr>
        <w:spacing w:before="400" w:after="160" w:line="360"/>
      </w:pPr>
      <w:r>
        <w:rPr>
          <w:rFonts w:ascii="Noto Serif KR" w:cs="Noto Serif KR" w:eastAsia="Noto Serif KR" w:hAnsi="Noto Serif KR"/>
          <w:b/>
          <w:bCs/>
          <w:color w:val="001f5b"/>
          <w:sz w:val="32"/>
          <w:szCs w:val="32"/>
        </w:rPr>
        <w:t xml:space="preserve">1. 서론</w:t>
      </w:r>
    </w:p>
    <w:p>
      <w:pPr>
        <w:pStyle w:val="Heading2"/>
        <w:spacing w:before="280" w:after="120" w:line="340"/>
      </w:pPr>
      <w:r>
        <w:rPr>
          <w:rFonts w:ascii="Noto Serif KR" w:cs="Noto Serif KR" w:eastAsia="Noto Serif KR" w:hAnsi="Noto Serif KR"/>
          <w:b/>
          <w:bCs/>
          <w:color w:val="003087"/>
          <w:sz w:val="26"/>
          <w:szCs w:val="26"/>
        </w:rPr>
        <w:t xml:space="preserve">1.1 사후 처방적 사법 시스템의 구조적 한계</w:t>
      </w:r>
    </w:p>
    <w:p>
      <w:pPr>
        <w:spacing w:before="60" w:after="60" w:line="340"/>
        <w:jc w:val="both"/>
      </w:pPr>
      <w:r>
        <w:rPr>
          <w:rFonts w:ascii="Noto Serif KR" w:cs="Noto Serif KR" w:eastAsia="Noto Serif KR" w:hAnsi="Noto Serif KR"/>
          <w:color w:val="1A1A2E"/>
          <w:sz w:val="20"/>
          <w:szCs w:val="20"/>
        </w:rPr>
        <w:t xml:space="preserve">현대 사법 시스템은 본질적으로 '사후 처방적'이다. 범죄나 분쟁이 발생한 이후에야 법원에 소송이 제기되고, 장기간의 심리를 거쳐 판결이 내려진다. 2024년 한 해 동안 한국 법원에 접수된 소송만 691만 건에 달하며, 1심부터 3심까지 평균 3년 이상이 소요된다(법원행정처, 2024). 법률 비용은 수천만 원에서 수억 원에 이르러, 경제적 약자에게는 사실상 사법 접근권을 포기하게 만드는 구조적 장벽으로 작용한다.</w:t>
      </w:r>
    </w:p>
    <w:p>
      <w:pPr>
        <w:spacing w:before="60" w:after="60"/>
      </w:pPr>
      <w:r>
        <w:t xml:space="preserve"/>
      </w:r>
    </w:p>
    <w:p>
      <w:pPr>
        <w:spacing w:before="60" w:after="60" w:line="340"/>
        <w:jc w:val="both"/>
      </w:pPr>
      <w:r>
        <w:rPr>
          <w:rFonts w:ascii="Noto Serif KR" w:cs="Noto Serif KR" w:eastAsia="Noto Serif KR" w:hAnsi="Noto Serif KR"/>
          <w:color w:val="1A1A2E"/>
          <w:sz w:val="20"/>
          <w:szCs w:val="20"/>
        </w:rPr>
        <w:t xml:space="preserve">이 '사후 처방' 방식의 근본적 한계는, 아무리 판결의 질을 높이고 처리 속도를 개선해도 이미 발생한 분쟁으로 인한 정신적·물질적 피해와 사회적 비용은 되돌릴 수 없다는 데 있다. 대부분의 민·형사 분쟁은 하루아침에 발생하지 않는다. 임대차 분쟁은 수개월의 압박과 협박 후에 소송으로 이어지고, 불법 행위의 대부분은 증거가 남는 소통—채팅, 문자, 이메일, 계약서—에 그 징후를 이미 담고 있다.</w:t>
      </w:r>
    </w:p>
    <w:p>
      <w:pPr>
        <w:pStyle w:val="Heading2"/>
        <w:spacing w:before="280" w:after="120" w:line="340"/>
      </w:pPr>
      <w:r>
        <w:rPr>
          <w:rFonts w:ascii="Noto Serif KR" w:cs="Noto Serif KR" w:eastAsia="Noto Serif KR" w:hAnsi="Noto Serif KR"/>
          <w:b/>
          <w:bCs/>
          <w:color w:val="003087"/>
          <w:sz w:val="26"/>
          <w:szCs w:val="26"/>
        </w:rPr>
        <w:t xml:space="preserve">1.2 기술 기반 분쟁 해결의 발전과 한계</w:t>
      </w:r>
    </w:p>
    <w:p>
      <w:pPr>
        <w:spacing w:before="60" w:after="60" w:line="340"/>
        <w:jc w:val="both"/>
      </w:pPr>
      <w:r>
        <w:rPr>
          <w:rFonts w:ascii="Noto Serif KR" w:cs="Noto Serif KR" w:eastAsia="Noto Serif KR" w:hAnsi="Noto Serif KR"/>
          <w:color w:val="1A1A2E"/>
          <w:sz w:val="20"/>
          <w:szCs w:val="20"/>
        </w:rPr>
        <w:t xml:space="preserve">대안적 분쟁 해결(ADR)은 세계 주요 기관(ICC, AAA-ICDR, UNCITRAL 등)에서 광범위하게 채택되고 있다(Born, 2014). 1990년대 이후에는 인터넷 기반의 온라인 분쟁 해결(ODR)이 등장하여 다양한 영역에서 적용되고 있다(Katsh &amp; Rifkin, 2001; Hörnle, 2009).</w:t>
      </w:r>
    </w:p>
    <w:p>
      <w:pPr>
        <w:spacing w:before="60" w:after="60"/>
      </w:pPr>
      <w:r>
        <w:t xml:space="preserve"/>
      </w:r>
    </w:p>
    <w:p>
      <w:pPr>
        <w:spacing w:before="60" w:after="60" w:line="340"/>
        <w:jc w:val="both"/>
      </w:pPr>
      <w:r>
        <w:rPr>
          <w:rFonts w:ascii="Noto Serif KR" w:cs="Noto Serif KR" w:eastAsia="Noto Serif KR" w:hAnsi="Noto Serif KR"/>
          <w:color w:val="1A1A2E"/>
          <w:sz w:val="20"/>
          <w:szCs w:val="20"/>
        </w:rPr>
        <w:t xml:space="preserve">그러나 기존 ODR·ADR 시스템은 공통적인 한계를 지닌다. 첫째, 분쟁을 사전에 차단하는 구조적 메커니즘을 갖추지 않았다(Rule, 2002). 둘째, 증거의 진정성 검증 문제가 지속적으로 제기되어 왔다(Zeleznikow, 2021). 셋째, 법리 분석의 편향 가능성이다(Sourdin, 2018). Sun et al.(2025)이 지적하듯, 실시간 분쟁 예방 기능과 독립 주체 분산형 분쟁 해결 구조는 법률 AI의 미해결 과제로 남아 있다.</w:t>
      </w:r>
    </w:p>
    <w:p>
      <w:pPr>
        <w:pStyle w:val="Heading2"/>
        <w:spacing w:before="280" w:after="120" w:line="340"/>
      </w:pPr>
      <w:r>
        <w:rPr>
          <w:rFonts w:ascii="Noto Serif KR" w:cs="Noto Serif KR" w:eastAsia="Noto Serif KR" w:hAnsi="Noto Serif KR"/>
          <w:b/>
          <w:bCs/>
          <w:color w:val="003087"/>
          <w:sz w:val="26"/>
          <w:szCs w:val="26"/>
        </w:rPr>
        <w:t xml:space="preserve">1.3 본 연구의 위치와 기여</w:t>
      </w:r>
    </w:p>
    <w:p>
      <w:pPr>
        <w:spacing w:before="60" w:after="60" w:line="340"/>
        <w:jc w:val="both"/>
      </w:pPr>
      <w:r>
        <w:rPr>
          <w:rFonts w:ascii="Noto Serif KR" w:cs="Noto Serif KR" w:eastAsia="Noto Serif KR" w:hAnsi="Noto Serif KR"/>
          <w:color w:val="1A1A2E"/>
          <w:sz w:val="20"/>
          <w:szCs w:val="20"/>
        </w:rPr>
        <w:t xml:space="preserve">본 연구는 위에서 식별된 세 가지 한계를 동시에 해결하는 통합 시스템 K-OpenLaw와 그 기반 인프라인 OpenHash-고팡 생태계를 소개하고, 실제 민사소송 사건 적용을 통해 핵심 성능을 실증한다. 기존 ODR·ADR 시스템과의 차별성은 다음 네 가지이다.</w:t>
      </w:r>
    </w:p>
    <w:p>
      <w:pPr>
        <w:spacing w:before="60" w:after="60"/>
      </w:pPr>
      <w:r>
        <w:t xml:space="preserve"/>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차별점 1 — 증거 무결성의 기술적 보장: OpenHash 기반 고팡은 소통 기록이 생성되는 순간부터 분산원장에 등록하여 사후 위변조를 기술적으로 불가능하게 만든다. 증거 진정성 문제를 '해결'이 아닌 '원천 제거'하는 구조적 차이이다.</w:t>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차별점 2 — 독립 주체 분산형 대립 논증 구조: K-OpenLaw는 원고 측·피고 측·중재·판정 모듈의 운용 주체를 각각 완전히 독립시켜, 어떤 단일 주체도 전체 절차를 통제하거나 조작할 수 없는 구조를 실현한다.</w:t>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차별점 3 — 예방 법학 기능의 플랫폼 통합: 고팡의 AI 비서는 일상적 소통 과정에서 위법 징후를 실시간으로 감지·경고한다. Louis Brown(1950)의 예방 법학(Preventive Law)을 AI와 분산원장 기술로 플랫폼 수준에서 구현한 최초의 사례이다.</w:t>
      </w:r>
    </w:p>
    <w:p>
      <w:pPr>
        <w:spacing w:before="60" w:after="60"/>
      </w:pPr>
      <w:r>
        <w:t xml:space="preserve"/>
      </w:r>
    </w:p>
    <w:p>
      <w:pPr>
        <w:pStyle w:val="Heading3"/>
        <w:spacing w:before="200" w:after="80" w:line="340"/>
      </w:pPr>
      <w:r>
        <w:rPr>
          <w:rFonts w:ascii="Noto Serif KR" w:cs="Noto Serif KR" w:eastAsia="Noto Serif KR" w:hAnsi="Noto Serif KR"/>
          <w:b/>
          <w:bCs/>
          <w:color w:val="001f5b"/>
          <w:sz w:val="22"/>
          <w:szCs w:val="22"/>
        </w:rPr>
        <w:t xml:space="preserve">차별점 4: 심급별 누적 법리 비교 구도 — 보완적 방안 탐색을 위한 새 방법론</w:t>
      </w:r>
    </w:p>
    <w:p>
      <w:pPr>
        <w:spacing w:before="60" w:after="60" w:line="340"/>
        <w:jc w:val="both"/>
      </w:pPr>
      <w:r>
        <w:rPr>
          <w:rFonts w:ascii="Noto Serif KR" w:cs="Noto Serif KR" w:eastAsia="Noto Serif KR" w:hAnsi="Noto Serif KR"/>
          <w:color w:val="1A1A2E"/>
          <w:sz w:val="20"/>
          <w:szCs w:val="20"/>
        </w:rPr>
        <w:t xml:space="preserve">본 연구에서 설계된 심급별 법리 비교 실험은, AI 시스템이 법조인보다 우월함을 입증하기 위한 것이 아니다. 오히려 그 반대이다. 개별 법조인이 불가피하게 직면하는 인지적 편향, 정보 처리의 한계, 규범 위계 적용의 불일치를 체계적으로 식별하고, 이를 보완할 합리적 기술적 방안을 탐색하는 것이 본 연구의 근본 목적이다. 이를 위해 AI 시스템과 실제 소송 과정이 자연스럽게 형성한 경쟁 협력적 구도(co-opetitive setting)를 방법론적으로 활용하였다.</w:t>
      </w:r>
    </w:p>
    <w:p>
      <w:pPr>
        <w:spacing w:before="60" w:after="60"/>
      </w:pPr>
      <w:r>
        <w:t xml:space="preserve"/>
      </w:r>
    </w:p>
    <w:p>
      <w:pPr>
        <w:spacing w:before="60" w:after="60" w:line="340"/>
        <w:jc w:val="both"/>
      </w:pPr>
      <w:r>
        <w:rPr>
          <w:rFonts w:ascii="Noto Serif KR" w:cs="Noto Serif KR" w:eastAsia="Noto Serif KR" w:hAnsi="Noto Serif KR"/>
          <w:color w:val="1A1A2E"/>
          <w:sz w:val="20"/>
          <w:szCs w:val="20"/>
        </w:rPr>
        <w:t xml:space="preserve">이 구도의 특징은 각 심급이 진행될수록 비교 준거가 누적된다는 점이다. 상위 심급의 판결문이 추가될수록 법리 논쟁의 지평이 확장되며, K-OpenLaw의 분석 결과는 더 두텁고 다층적인 법리 준거와 비교·검증된다.</w:t>
      </w:r>
    </w:p>
    <w:p>
      <w:pPr>
        <w:spacing w:before="60" w:after="60"/>
      </w:pPr>
      <w:r>
        <w:t xml:space="preserve"/>
      </w:r>
    </w:p>
    <w:tbl>
      <w:tblPr>
        <w:tblW w:type="dxa" w:w="7620"/>
        <w:tblBorders>
          <w:top w:val="single" w:color="auto" w:sz="4"/>
          <w:left w:val="single" w:color="auto" w:sz="4"/>
          <w:bottom w:val="single" w:color="auto" w:sz="4"/>
          <w:right w:val="single" w:color="auto" w:sz="4"/>
          <w:insideH w:val="single" w:color="auto" w:sz="4"/>
          <w:insideV w:val="single" w:color="auto" w:sz="4"/>
        </w:tblBorders>
      </w:tblPr>
      <w:tblGrid>
        <w:gridCol w:w="900"/>
        <w:gridCol w:w="2860"/>
        <w:gridCol w:w="3860"/>
      </w:tblGrid>
      <w:tr>
        <w:tc>
          <w:tcPr>
            <w:tcW w:type="dxa" w:w="900"/>
            <w:tcBorders>
              <w:top w:val="single" w:color="FFFFFF" w:sz="1"/>
              <w:left w:val="single" w:color="FFFFFF" w:sz="1"/>
              <w:bottom w:val="single" w:color="FFFFFF" w:sz="1"/>
              <w:right w:val="single" w:color="FFFFFF" w:sz="1"/>
            </w:tcBorders>
            <w:shd w:fill="003087" w:val="clear"/>
            <w:tcMar>
              <w:top w:type="dxa" w:w="80"/>
              <w:left w:type="dxa" w:w="120"/>
              <w:bottom w:type="dxa" w:w="80"/>
              <w:right w:type="dxa" w:w="120"/>
            </w:tcMar>
          </w:tcPr>
          <w:p>
            <w:pPr>
              <w:jc w:val="center"/>
            </w:pPr>
            <w:r>
              <w:rPr>
                <w:rFonts w:ascii="Noto Serif KR" w:cs="Noto Serif KR" w:eastAsia="Noto Serif KR" w:hAnsi="Noto Serif KR"/>
                <w:b/>
                <w:bCs/>
                <w:color w:val="FFFFFF"/>
                <w:sz w:val="19"/>
                <w:szCs w:val="19"/>
              </w:rPr>
              <w:t xml:space="preserve">심급</w:t>
            </w:r>
          </w:p>
        </w:tc>
        <w:tc>
          <w:tcPr>
            <w:tcW w:type="dxa" w:w="2860"/>
            <w:tcBorders>
              <w:top w:val="single" w:color="FFFFFF" w:sz="1"/>
              <w:left w:val="single" w:color="FFFFFF" w:sz="1"/>
              <w:bottom w:val="single" w:color="FFFFFF" w:sz="1"/>
              <w:right w:val="single" w:color="FFFFFF" w:sz="1"/>
            </w:tcBorders>
            <w:shd w:fill="003087" w:val="clear"/>
            <w:tcMar>
              <w:top w:type="dxa" w:w="80"/>
              <w:left w:type="dxa" w:w="120"/>
              <w:bottom w:type="dxa" w:w="80"/>
              <w:right w:type="dxa" w:w="120"/>
            </w:tcMar>
          </w:tcPr>
          <w:p>
            <w:pPr>
              <w:jc w:val="center"/>
            </w:pPr>
            <w:r>
              <w:rPr>
                <w:rFonts w:ascii="Noto Serif KR" w:cs="Noto Serif KR" w:eastAsia="Noto Serif KR" w:hAnsi="Noto Serif KR"/>
                <w:b/>
                <w:bCs/>
                <w:color w:val="FFFFFF"/>
                <w:sz w:val="19"/>
                <w:szCs w:val="19"/>
              </w:rPr>
              <w:t xml:space="preserve">K-OpenLaw 측 준거</w:t>
            </w:r>
          </w:p>
        </w:tc>
        <w:tc>
          <w:tcPr>
            <w:tcW w:type="dxa" w:w="3860"/>
            <w:tcBorders>
              <w:top w:val="single" w:color="FFFFFF" w:sz="1"/>
              <w:left w:val="single" w:color="FFFFFF" w:sz="1"/>
              <w:bottom w:val="single" w:color="FFFFFF" w:sz="1"/>
              <w:right w:val="single" w:color="FFFFFF" w:sz="1"/>
            </w:tcBorders>
            <w:shd w:fill="003087" w:val="clear"/>
            <w:tcMar>
              <w:top w:type="dxa" w:w="80"/>
              <w:left w:type="dxa" w:w="120"/>
              <w:bottom w:type="dxa" w:w="80"/>
              <w:right w:type="dxa" w:w="120"/>
            </w:tcMar>
          </w:tcPr>
          <w:p>
            <w:pPr>
              <w:jc w:val="center"/>
            </w:pPr>
            <w:r>
              <w:rPr>
                <w:rFonts w:ascii="Noto Serif KR" w:cs="Noto Serif KR" w:eastAsia="Noto Serif KR" w:hAnsi="Noto Serif KR"/>
                <w:b/>
                <w:bCs/>
                <w:color w:val="FFFFFF"/>
                <w:sz w:val="19"/>
                <w:szCs w:val="19"/>
              </w:rPr>
              <w:t xml:space="preserve">법리 비교 준거 (심급별 누적)</w:t>
            </w:r>
          </w:p>
        </w:tc>
      </w:tr>
      <w:tr>
        <w:tc>
          <w:tcPr>
            <w:tcW w:type="dxa" w:w="900"/>
            <w:tcBorders>
              <w:top w:val="single" w:color="CCCCCC" w:sz="1"/>
              <w:left w:val="single" w:color="CCCCCC" w:sz="1"/>
              <w:bottom w:val="single" w:color="CCCCCC" w:sz="1"/>
              <w:right w:val="single" w:color="CCCCCC" w:sz="1"/>
            </w:tcBorders>
            <w:shd w:fill="E8EDF7" w:val="clear"/>
            <w:tcMar>
              <w:top w:type="dxa" w:w="60"/>
              <w:left w:type="dxa" w:w="120"/>
              <w:bottom w:type="dxa" w:w="60"/>
              <w:right w:type="dxa" w:w="120"/>
            </w:tcMar>
          </w:tcPr>
          <w:p>
            <w:pPr>
              <w:jc w:val="center"/>
            </w:pPr>
            <w:r>
              <w:rPr>
                <w:rFonts w:ascii="Noto Serif KR" w:cs="Noto Serif KR" w:eastAsia="Noto Serif KR" w:hAnsi="Noto Serif KR"/>
                <w:b/>
                <w:bCs/>
                <w:color w:val="001f5b"/>
                <w:sz w:val="19"/>
                <w:szCs w:val="19"/>
              </w:rPr>
              <w:t xml:space="preserve">1심</w:t>
            </w:r>
          </w:p>
        </w:tc>
        <w:tc>
          <w:tcPr>
            <w:tcW w:type="dxa" w:w="2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Noto Serif KR" w:cs="Noto Serif KR" w:eastAsia="Noto Serif KR" w:hAnsi="Noto Serif KR"/>
                <w:color w:val="1A1A2E"/>
                <w:sz w:val="19"/>
                <w:szCs w:val="19"/>
              </w:rPr>
              <w:t xml:space="preserve">원고 측 주장 + K-OpenLaw 분석</w:t>
            </w:r>
          </w:p>
        </w:tc>
        <w:tc>
          <w:tcPr>
            <w:tcW w:type="dxa" w:w="3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Noto Serif KR" w:cs="Noto Serif KR" w:eastAsia="Noto Serif KR" w:hAnsi="Noto Serif KR"/>
                <w:color w:val="1A1A2E"/>
                <w:sz w:val="19"/>
                <w:szCs w:val="19"/>
              </w:rPr>
              <w:t xml:space="preserve">피고 측 주장 (법무팀 + 전속 변호사 + 복변호사)</w:t>
            </w:r>
          </w:p>
        </w:tc>
      </w:tr>
      <w:tr>
        <w:tc>
          <w:tcPr>
            <w:tcW w:type="dxa" w:w="900"/>
            <w:tcBorders>
              <w:top w:val="single" w:color="CCCCCC" w:sz="1"/>
              <w:left w:val="single" w:color="CCCCCC" w:sz="1"/>
              <w:bottom w:val="single" w:color="CCCCCC" w:sz="1"/>
              <w:right w:val="single" w:color="CCCCCC" w:sz="1"/>
            </w:tcBorders>
            <w:shd w:fill="E8EDF7" w:val="clear"/>
            <w:tcMar>
              <w:top w:type="dxa" w:w="60"/>
              <w:left w:type="dxa" w:w="120"/>
              <w:bottom w:type="dxa" w:w="60"/>
              <w:right w:type="dxa" w:w="120"/>
            </w:tcMar>
          </w:tcPr>
          <w:p>
            <w:pPr>
              <w:jc w:val="center"/>
            </w:pPr>
            <w:r>
              <w:rPr>
                <w:rFonts w:ascii="Noto Serif KR" w:cs="Noto Serif KR" w:eastAsia="Noto Serif KR" w:hAnsi="Noto Serif KR"/>
                <w:b/>
                <w:bCs/>
                <w:color w:val="001f5b"/>
                <w:sz w:val="19"/>
                <w:szCs w:val="19"/>
              </w:rPr>
              <w:t xml:space="preserve">2심</w:t>
            </w:r>
          </w:p>
        </w:tc>
        <w:tc>
          <w:tcPr>
            <w:tcW w:type="dxa" w:w="28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jc w:val="left"/>
            </w:pPr>
            <w:r>
              <w:rPr>
                <w:rFonts w:ascii="Noto Serif KR" w:cs="Noto Serif KR" w:eastAsia="Noto Serif KR" w:hAnsi="Noto Serif KR"/>
                <w:color w:val="1A1A2E"/>
                <w:sz w:val="19"/>
                <w:szCs w:val="19"/>
              </w:rPr>
              <w:t xml:space="preserve">원고 측 주장 + K-OpenLaw 분석</w:t>
            </w:r>
          </w:p>
        </w:tc>
        <w:tc>
          <w:tcPr>
            <w:tcW w:type="dxa" w:w="38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jc w:val="left"/>
            </w:pPr>
            <w:r>
              <w:rPr>
                <w:rFonts w:ascii="Noto Serif KR" w:cs="Noto Serif KR" w:eastAsia="Noto Serif KR" w:hAnsi="Noto Serif KR"/>
                <w:color w:val="1A1A2E"/>
                <w:sz w:val="19"/>
                <w:szCs w:val="19"/>
              </w:rPr>
              <w:t xml:space="preserve">피고 측 주장 + 1심 판결문 (단독 판사 1인)</w:t>
            </w:r>
          </w:p>
        </w:tc>
      </w:tr>
      <w:tr>
        <w:tc>
          <w:tcPr>
            <w:tcW w:type="dxa" w:w="900"/>
            <w:tcBorders>
              <w:top w:val="single" w:color="CCCCCC" w:sz="1"/>
              <w:left w:val="single" w:color="CCCCCC" w:sz="1"/>
              <w:bottom w:val="single" w:color="CCCCCC" w:sz="1"/>
              <w:right w:val="single" w:color="CCCCCC" w:sz="1"/>
            </w:tcBorders>
            <w:shd w:fill="E8EDF7" w:val="clear"/>
            <w:tcMar>
              <w:top w:type="dxa" w:w="60"/>
              <w:left w:type="dxa" w:w="120"/>
              <w:bottom w:type="dxa" w:w="60"/>
              <w:right w:type="dxa" w:w="120"/>
            </w:tcMar>
          </w:tcPr>
          <w:p>
            <w:pPr>
              <w:jc w:val="center"/>
            </w:pPr>
            <w:r>
              <w:rPr>
                <w:rFonts w:ascii="Noto Serif KR" w:cs="Noto Serif KR" w:eastAsia="Noto Serif KR" w:hAnsi="Noto Serif KR"/>
                <w:b/>
                <w:bCs/>
                <w:color w:val="001f5b"/>
                <w:sz w:val="19"/>
                <w:szCs w:val="19"/>
              </w:rPr>
              <w:t xml:space="preserve">3심</w:t>
            </w:r>
          </w:p>
        </w:tc>
        <w:tc>
          <w:tcPr>
            <w:tcW w:type="dxa" w:w="2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Noto Serif KR" w:cs="Noto Serif KR" w:eastAsia="Noto Serif KR" w:hAnsi="Noto Serif KR"/>
                <w:color w:val="1A1A2E"/>
                <w:sz w:val="19"/>
                <w:szCs w:val="19"/>
              </w:rPr>
              <w:t xml:space="preserve">원고 측 주장 + K-OpenLaw 분석</w:t>
            </w:r>
          </w:p>
        </w:tc>
        <w:tc>
          <w:tcPr>
            <w:tcW w:type="dxa" w:w="3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Noto Serif KR" w:cs="Noto Serif KR" w:eastAsia="Noto Serif KR" w:hAnsi="Noto Serif KR"/>
                <w:color w:val="1A1A2E"/>
                <w:sz w:val="19"/>
                <w:szCs w:val="19"/>
              </w:rPr>
              <w:t xml:space="preserve">피고 측 주장 + 1·2심 판결문 (판사 3인)</w:t>
            </w:r>
          </w:p>
        </w:tc>
      </w:tr>
      <w:tr>
        <w:tc>
          <w:tcPr>
            <w:tcW w:type="dxa" w:w="900"/>
            <w:tcBorders>
              <w:top w:val="single" w:color="CCCCCC" w:sz="1"/>
              <w:left w:val="single" w:color="CCCCCC" w:sz="1"/>
              <w:bottom w:val="single" w:color="CCCCCC" w:sz="1"/>
              <w:right w:val="single" w:color="CCCCCC" w:sz="1"/>
            </w:tcBorders>
            <w:shd w:fill="E8EDF7" w:val="clear"/>
            <w:tcMar>
              <w:top w:type="dxa" w:w="60"/>
              <w:left w:type="dxa" w:w="120"/>
              <w:bottom w:type="dxa" w:w="60"/>
              <w:right w:type="dxa" w:w="120"/>
            </w:tcMar>
          </w:tcPr>
          <w:p>
            <w:pPr>
              <w:jc w:val="center"/>
            </w:pPr>
            <w:r>
              <w:rPr>
                <w:rFonts w:ascii="Noto Serif KR" w:cs="Noto Serif KR" w:eastAsia="Noto Serif KR" w:hAnsi="Noto Serif KR"/>
                <w:b/>
                <w:bCs/>
                <w:color w:val="001f5b"/>
                <w:sz w:val="19"/>
                <w:szCs w:val="19"/>
              </w:rPr>
              <w:t xml:space="preserve">헌법소원</w:t>
            </w:r>
          </w:p>
        </w:tc>
        <w:tc>
          <w:tcPr>
            <w:tcW w:type="dxa" w:w="28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jc w:val="left"/>
            </w:pPr>
            <w:r>
              <w:rPr>
                <w:rFonts w:ascii="Noto Serif KR" w:cs="Noto Serif KR" w:eastAsia="Noto Serif KR" w:hAnsi="Noto Serif KR"/>
                <w:color w:val="1A1A2E"/>
                <w:sz w:val="19"/>
                <w:szCs w:val="19"/>
              </w:rPr>
              <w:t xml:space="preserve">원고 측 주장 + K-OpenLaw 분석</w:t>
            </w:r>
          </w:p>
        </w:tc>
        <w:tc>
          <w:tcPr>
            <w:tcW w:type="dxa" w:w="38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jc w:val="left"/>
            </w:pPr>
            <w:r>
              <w:rPr>
                <w:rFonts w:ascii="Noto Serif KR" w:cs="Noto Serif KR" w:eastAsia="Noto Serif KR" w:hAnsi="Noto Serif KR"/>
                <w:color w:val="1A1A2E"/>
                <w:sz w:val="19"/>
                <w:szCs w:val="19"/>
              </w:rPr>
              <w:t xml:space="preserve">피고 측 주장 + 1·2·3심 판결문 + 헌법재판소 의견</w:t>
            </w:r>
          </w:p>
        </w:tc>
      </w:tr>
    </w:tbl>
    <w:p>
      <w:pPr>
        <w:spacing w:before="60" w:after="60"/>
      </w:pPr>
      <w:r>
        <w:t xml:space="preserve"/>
      </w:r>
    </w:p>
    <w:p>
      <w:pPr>
        <w:pBdr>
          <w:left w:val="single" w:color="C9A000" w:sz="12" w:space="8"/>
        </w:pBdr>
        <w:shd w:fill="FFF8E1" w:val="clear"/>
        <w:spacing w:before="80" w:after="80" w:line="320"/>
        <w:ind w:left="400" w:right="400"/>
        <w:jc w:val="both"/>
      </w:pPr>
      <w:r>
        <w:rPr>
          <w:rFonts w:ascii="Noto Serif KR" w:cs="Noto Serif KR" w:eastAsia="Noto Serif KR" w:hAnsi="Noto Serif KR"/>
          <w:color w:val="6B4C00"/>
          <w:sz w:val="18"/>
          <w:szCs w:val="18"/>
        </w:rPr>
        <w:t xml:space="preserve">중요: 이 구도는 각 심급의 판결을 평가하거나 판사·법조인의 역량을 측정하기 위한 것이 아니다. 기존 법조인의 사회적 기능을 보완하고 보강하기 위한 합리적 방안을 도출하는 것이 목적이며, 동일한 법적 쟁점에 대해 AI 분석과 실제 법원 판단의 구조적 차이를 학술적으로 기록하는 데 그 의의가 있다.</w:t>
      </w:r>
    </w:p>
    <w:p>
      <w:pPr>
        <w:spacing w:before="60" w:after="60"/>
      </w:pPr>
      <w:r>
        <w:t xml:space="preserve"/>
      </w:r>
    </w:p>
    <w:p>
      <w:pPr>
        <w:spacing w:before="60" w:after="60" w:line="340"/>
        <w:jc w:val="both"/>
      </w:pPr>
      <w:r>
        <w:rPr>
          <w:rFonts w:ascii="Noto Serif KR" w:cs="Noto Serif KR" w:eastAsia="Noto Serif KR" w:hAnsi="Noto Serif KR"/>
          <w:color w:val="1A1A2E"/>
          <w:sz w:val="20"/>
          <w:szCs w:val="20"/>
        </w:rPr>
        <w:t xml:space="preserve">저자들이 아는 한, 실제 법원에서 진행 중인 소송의 각 심급 판결문을 누적 비교 준거로 삼아 AI 법리 분석 결과와 교차 평가한 연구는 기존 문헌에 보고된 바 없다.</w:t>
      </w:r>
    </w:p>
    <w:p>
      <w:pPr>
        <w:pStyle w:val="Heading2"/>
        <w:spacing w:before="280" w:after="120" w:line="340"/>
      </w:pPr>
      <w:r>
        <w:rPr>
          <w:rFonts w:ascii="Noto Serif KR" w:cs="Noto Serif KR" w:eastAsia="Noto Serif KR" w:hAnsi="Noto Serif KR"/>
          <w:b/>
          <w:bCs/>
          <w:color w:val="003087"/>
          <w:sz w:val="26"/>
          <w:szCs w:val="26"/>
        </w:rPr>
        <w:t xml:space="preserve">1.4 연구의 실제적 맥락</w:t>
      </w:r>
    </w:p>
    <w:p>
      <w:pPr>
        <w:spacing w:before="60" w:after="60" w:line="340"/>
        <w:jc w:val="both"/>
      </w:pPr>
      <w:r>
        <w:rPr>
          <w:rFonts w:ascii="Noto Serif KR" w:cs="Noto Serif KR" w:eastAsia="Noto Serif KR" w:hAnsi="Noto Serif KR"/>
          <w:color w:val="1A1A2E"/>
          <w:sz w:val="20"/>
          <w:szCs w:val="20"/>
        </w:rPr>
        <w:t xml:space="preserve">본 연구는 단순한 소급 데이터 분석에 그치지 않는다. 현재 대법원 상고심이 진행 중인 이 사건에서, K-OpenLaw 시스템은 원고 측의 법리 분석을 지원하는 실제적 도구로 기능하고 있다. 구체적으로, 법률 대리인을 두지 않은 원고는 AI 전문가(비법조인)의 기술적 지원을 받아 K-OpenLaw를 직접 활용하여 자력 소송을 수행하였다.</w:t>
      </w:r>
    </w:p>
    <w:p>
      <w:pPr>
        <w:spacing w:before="60" w:after="60"/>
      </w:pPr>
      <w:r>
        <w:t xml:space="preserve"/>
      </w:r>
    </w:p>
    <w:p>
      <w:pPr>
        <w:spacing w:before="60" w:after="60" w:line="340"/>
        <w:jc w:val="both"/>
      </w:pPr>
      <w:r>
        <w:rPr>
          <w:rFonts w:ascii="Noto Serif KR" w:cs="Noto Serif KR" w:eastAsia="Noto Serif KR" w:hAnsi="Noto Serif KR"/>
          <w:color w:val="1A1A2E"/>
          <w:sz w:val="20"/>
          <w:szCs w:val="20"/>
        </w:rPr>
        <w:t xml:space="preserve">이 사실은 본 연구의 두 가지 핵심 의의를 동시에 보여준다. 첫째, K-OpenLaw가 법조인이 아닌 일반 당사자도 접근·활용할 수 있는 사법 지원 도구임을 실전에서 입증한다. 둘째, 각 심급에서 K-OpenLaw가 생성한 법리 검토 결과는 원고 측 주장의 근거로 실제 법원에 제출·활용되었으며, 이에 대해 피고 측 변호인단 및 각 심급 법원의 판결문이 제시한 법리는 상대적 준거점으로 기능하였다.</w:t>
      </w:r>
    </w:p>
    <w:p>
      <w:pPr>
        <w:spacing w:before="60" w:after="60"/>
      </w:pPr>
      <w:r>
        <w:t xml:space="preserve"/>
      </w:r>
    </w:p>
    <w:p>
      <w:pPr>
        <w:spacing w:before="60" w:after="60" w:line="340"/>
        <w:jc w:val="both"/>
      </w:pPr>
      <w:r>
        <w:rPr>
          <w:rFonts w:ascii="Noto Serif KR" w:cs="Noto Serif KR" w:eastAsia="Noto Serif KR" w:hAnsi="Noto Serif KR"/>
          <w:color w:val="1A1A2E"/>
          <w:sz w:val="20"/>
          <w:szCs w:val="20"/>
        </w:rPr>
        <w:t xml:space="preserve">따라서 본 연구에서 비교하는 'AI 생성 판결'과 '실제 법원 판결'은 단순한 텍스트 대조가 아니라, 동일한 사실관계를 둘러싸고 실제 법정에서 경합한 법리적 입장들의 체계적 대비라는 성격을 갖는다. 이 과정은 AI와 인간 법조인이 동일 법적 쟁점에 대해 각자의 방식으로 법리를 전개하고 그 결과가 법원이라는 공론장에서 검증되는, 일종의 협력적 경합(co-opetition)의 구조를 자연스럽게 형성한다.</w:t>
      </w:r>
    </w:p>
    <w:p>
      <w:pPr>
        <w:spacing w:before="60" w:after="60"/>
      </w:pPr>
      <w:r>
        <w:t xml:space="preserve"/>
      </w:r>
    </w:p>
    <w:p>
      <w:pPr>
        <w:spacing w:before="60" w:after="60" w:line="340"/>
        <w:jc w:val="both"/>
      </w:pPr>
      <w:r>
        <w:rPr>
          <w:rFonts w:ascii="Noto Serif KR" w:cs="Noto Serif KR" w:eastAsia="Noto Serif KR" w:hAnsi="Noto Serif KR"/>
          <w:color w:val="1A1A2E"/>
          <w:sz w:val="20"/>
          <w:szCs w:val="20"/>
        </w:rPr>
        <w:t xml:space="preserve">저자들이 아는 한, AI 기반 법리 분석 시스템이 실제 소송에서 원고 측 자력 소송의 법리 지원 도구로 기능하면서, 피고 측 변호인단 및 각 심급 법원의 법리 판단과 체계적으로 대비된 사례는 기존 문헌에 보고된 바 없다. 이러한 점에서 본 연구는 AI 시스템이 실제 사법 과정에 개입하여 인간 법조인 및 법원의 판단과 방법론적으로 비교·검증된 최초의 실증 연구로서의 의의를 지닌다.</w:t>
      </w:r>
    </w:p>
    <w:p>
      <w:pPr>
        <w:pStyle w:val="Heading2"/>
        <w:spacing w:before="280" w:after="120" w:line="340"/>
      </w:pPr>
      <w:r>
        <w:rPr>
          <w:rFonts w:ascii="Noto Serif KR" w:cs="Noto Serif KR" w:eastAsia="Noto Serif KR" w:hAnsi="Noto Serif KR"/>
          <w:b/>
          <w:bCs/>
          <w:color w:val="003087"/>
          <w:sz w:val="26"/>
          <w:szCs w:val="26"/>
        </w:rPr>
        <w:t xml:space="preserve">1.5 연구 질문</w:t>
      </w:r>
    </w:p>
    <w:p>
      <w:pPr>
        <w:spacing w:before="80" w:after="60" w:line="340"/>
        <w:ind w:left="560"/>
      </w:pPr>
      <w:r>
        <w:rPr>
          <w:rFonts w:ascii="Noto Serif KR" w:cs="Noto Serif KR" w:eastAsia="Noto Serif KR" w:hAnsi="Noto Serif KR"/>
          <w:color w:val="1A1A2E"/>
          <w:sz w:val="20"/>
          <w:szCs w:val="20"/>
        </w:rPr>
        <w:t xml:space="preserve">RQ1: K-OpenLaw는 파산법·민사소송법·임대차법이 교차하는 복잡한 실제 민사 사건에서 법원 판결의 법리적 오류를 체계적으로 식별하고, 헌법 및 상위 법률 원칙에 부합하는 우수한 대안 판결을 생성할 수 있는가?</w:t>
      </w:r>
    </w:p>
    <w:p>
      <w:pPr>
        <w:spacing w:before="80" w:after="60" w:line="340"/>
        <w:ind w:left="560"/>
      </w:pPr>
      <w:r>
        <w:rPr>
          <w:rFonts w:ascii="Noto Serif KR" w:cs="Noto Serif KR" w:eastAsia="Noto Serif KR" w:hAnsi="Noto Serif KR"/>
          <w:color w:val="1A1A2E"/>
          <w:sz w:val="20"/>
          <w:szCs w:val="20"/>
        </w:rPr>
        <w:t xml:space="preserve">RQ2: K-OpenLaw의 법리 분석 능력 실증은, OpenHash-고팡 생태계의 분쟁 예방적 잠재력에 대한 간접적 근거로서 어느 수준의 타당성을 갖는가?</w:t>
      </w:r>
    </w:p>
    <w:p>
      <w:pPr>
        <w:spacing w:before="80" w:after="60" w:line="340"/>
        <w:ind w:left="560"/>
      </w:pPr>
      <w:r>
        <w:rPr>
          <w:rFonts w:ascii="Noto Serif KR" w:cs="Noto Serif KR" w:eastAsia="Noto Serif KR" w:hAnsi="Noto Serif KR"/>
          <w:color w:val="1A1A2E"/>
          <w:sz w:val="20"/>
          <w:szCs w:val="20"/>
        </w:rPr>
        <w:t xml:space="preserve">RQ3: OpenHash 기반 증거 무결성 보장은 분쟁 해결의 효율성과 신뢰성에 어떤 실질적 기여를 하는가?</w:t>
      </w:r>
    </w:p>
    <w:p>
      <w:pPr>
        <w:pageBreakBefore/>
      </w:pPr>
      <w:r>
        <w:t xml:space="preserve"/>
      </w:r>
    </w:p>
    <w:p>
      <w:pPr>
        <w:pStyle w:val="Heading1"/>
        <w:pBdr>
          <w:bottom w:val="single" w:color="003087" w:sz="8" w:space="4"/>
        </w:pBdr>
        <w:spacing w:before="400" w:after="160" w:line="360"/>
      </w:pPr>
      <w:r>
        <w:rPr>
          <w:rFonts w:ascii="Noto Serif KR" w:cs="Noto Serif KR" w:eastAsia="Noto Serif KR" w:hAnsi="Noto Serif KR"/>
          <w:b/>
          <w:bCs/>
          <w:color w:val="001f5b"/>
          <w:sz w:val="32"/>
          <w:szCs w:val="32"/>
        </w:rPr>
        <w:t xml:space="preserve">2. 배경 및 선행연구</w:t>
      </w:r>
    </w:p>
    <w:p>
      <w:pPr>
        <w:pStyle w:val="Heading2"/>
        <w:spacing w:before="280" w:after="120" w:line="340"/>
      </w:pPr>
      <w:r>
        <w:rPr>
          <w:rFonts w:ascii="Noto Serif KR" w:cs="Noto Serif KR" w:eastAsia="Noto Serif KR" w:hAnsi="Noto Serif KR"/>
          <w:b/>
          <w:bCs/>
          <w:color w:val="003087"/>
          <w:sz w:val="26"/>
          <w:szCs w:val="26"/>
        </w:rPr>
        <w:t xml:space="preserve">2.1 예방 법학(Preventive Law)의 이론적 기반</w:t>
      </w:r>
    </w:p>
    <w:p>
      <w:pPr>
        <w:spacing w:before="60" w:after="60" w:line="340"/>
        <w:jc w:val="both"/>
      </w:pPr>
      <w:r>
        <w:rPr>
          <w:rFonts w:ascii="Noto Serif KR" w:cs="Noto Serif KR" w:eastAsia="Noto Serif KR" w:hAnsi="Noto Serif KR"/>
          <w:color w:val="1A1A2E"/>
          <w:sz w:val="20"/>
          <w:szCs w:val="20"/>
        </w:rPr>
        <w:t xml:space="preserve">예방 법학(Preventive Law)은 Louis Brown(1950)이 체계화한 개념으로, 법률 전문가의 역할이 분쟁 발생 후 사후 대응이 아니라 분쟁 자체를 예방하는 사전 조언에 있다는 철학을 담고 있다. Brown에 따르면 대부분의 법적 문제는 당사자가 행위 시점에서 법적 함의를 충분히 인식하지 못하거나, 분쟁으로 비화할 수 있는 소통을 관리하지 못하는 데서 비롯된다. Dauer(1994)는 예방 법학을 조직 차원에서 확장하여 "법적 건강 감사(Legal Health Audit)" 개념을 제안하였다.</w:t>
      </w:r>
    </w:p>
    <w:p>
      <w:pPr>
        <w:spacing w:before="60" w:after="60"/>
      </w:pPr>
      <w:r>
        <w:t xml:space="preserve"/>
      </w:r>
    </w:p>
    <w:p>
      <w:pPr>
        <w:spacing w:before="60" w:after="60" w:line="340"/>
        <w:jc w:val="both"/>
      </w:pPr>
      <w:r>
        <w:rPr>
          <w:rFonts w:ascii="Noto Serif KR" w:cs="Noto Serif KR" w:eastAsia="Noto Serif KR" w:hAnsi="Noto Serif KR"/>
          <w:color w:val="1A1A2E"/>
          <w:sz w:val="20"/>
          <w:szCs w:val="20"/>
        </w:rPr>
        <w:t xml:space="preserve">Barton &amp; Bibas(2017)는 법률 자동화가 법적 서비스의 민주화를 통해 예방적 법률 접근성을 확대할 수 있음을 논하였다. 그러나 예방 법학을 실시간 소통 분석 및 분산원장 증거 보존과 결합하는 기술적 시스템의 설계와 실증은 아직 탐구되지 않은 영역으로 남아 있다.</w:t>
      </w:r>
    </w:p>
    <w:p>
      <w:pPr>
        <w:pStyle w:val="Heading2"/>
        <w:spacing w:before="280" w:after="120" w:line="340"/>
      </w:pPr>
      <w:r>
        <w:rPr>
          <w:rFonts w:ascii="Noto Serif KR" w:cs="Noto Serif KR" w:eastAsia="Noto Serif KR" w:hAnsi="Noto Serif KR"/>
          <w:b/>
          <w:bCs/>
          <w:color w:val="003087"/>
          <w:sz w:val="26"/>
          <w:szCs w:val="26"/>
        </w:rPr>
        <w:t xml:space="preserve">2.2 온라인 분쟁 해결(ODR)의 발전과 한계</w:t>
      </w:r>
    </w:p>
    <w:p>
      <w:pPr>
        <w:spacing w:before="60" w:after="60" w:line="340"/>
        <w:jc w:val="both"/>
      </w:pPr>
      <w:r>
        <w:rPr>
          <w:rFonts w:ascii="Noto Serif KR" w:cs="Noto Serif KR" w:eastAsia="Noto Serif KR" w:hAnsi="Noto Serif KR"/>
          <w:color w:val="1A1A2E"/>
          <w:sz w:val="20"/>
          <w:szCs w:val="20"/>
        </w:rPr>
        <w:t xml:space="preserve">ODR의 개념적 기초는 Katsh &amp; Rifkin(2001)에서 마련되었다. 이들은 인터넷이 분쟁 해결에 있어 "제4의 당사자(Fourth Party)"로 기능할 수 있음을 주장하였다. 이후 eBay Resolution Center, ICANN UDRP, 유럽연합의 ODR 플랫폼(Directive 2013/11/EU) 등이 실용적 ODR 시스템으로 정착하였다.</w:t>
      </w:r>
    </w:p>
    <w:p>
      <w:pPr>
        <w:spacing w:before="60" w:after="60"/>
      </w:pPr>
      <w:r>
        <w:t xml:space="preserve"/>
      </w:r>
    </w:p>
    <w:p>
      <w:pPr>
        <w:spacing w:before="60" w:after="60" w:line="340"/>
        <w:jc w:val="both"/>
      </w:pPr>
      <w:r>
        <w:rPr>
          <w:rFonts w:ascii="Noto Serif KR" w:cs="Noto Serif KR" w:eastAsia="Noto Serif KR" w:hAnsi="Noto Serif KR"/>
          <w:color w:val="1A1A2E"/>
          <w:sz w:val="20"/>
          <w:szCs w:val="20"/>
        </w:rPr>
        <w:t xml:space="preserve">Zeleznikow(2021)는 ODR의 핵심 과제로 (1) 증거 진정성 보장, (2) 알고리즘 편향 방지, (3) 법리적 정확성 확보를 제시하였다. 본 연구의 시스템은 이 세 과제에 각각 OpenHash, 이종 LLM 대립 논증, 6단계 규범 위계 데이터베이스로 대응한다.</w:t>
      </w:r>
    </w:p>
    <w:p>
      <w:pPr>
        <w:pStyle w:val="Heading2"/>
        <w:spacing w:before="280" w:after="120" w:line="340"/>
      </w:pPr>
      <w:r>
        <w:rPr>
          <w:rFonts w:ascii="Noto Serif KR" w:cs="Noto Serif KR" w:eastAsia="Noto Serif KR" w:hAnsi="Noto Serif KR"/>
          <w:b/>
          <w:bCs/>
          <w:color w:val="003087"/>
          <w:sz w:val="26"/>
          <w:szCs w:val="26"/>
        </w:rPr>
        <w:t xml:space="preserve">2.3 대안적 분쟁 해결(ADR)과 AI의 결합</w:t>
      </w:r>
    </w:p>
    <w:p>
      <w:pPr>
        <w:spacing w:before="60" w:after="60" w:line="340"/>
        <w:jc w:val="both"/>
      </w:pPr>
      <w:r>
        <w:rPr>
          <w:rFonts w:ascii="Noto Serif KR" w:cs="Noto Serif KR" w:eastAsia="Noto Serif KR" w:hAnsi="Noto Serif KR"/>
          <w:color w:val="1A1A2E"/>
          <w:sz w:val="20"/>
          <w:szCs w:val="20"/>
        </w:rPr>
        <w:t xml:space="preserve">Sourdin(2018)은 AI를 "의사결정 지원자", "의사결정 대체자", "의사결정자"의 세 단계로 분류하였다. 현재 대부분의 상용 시스템은 첫 번째 단계에 머물고 있다. 본 연구의 K-OpenLaw는 세 번째 단계(AI 판결 생성)에 도달하되, 인간 법관의 최종 승인을 통해 사법적 권위를 보존하는 하이브리드 구조를 채택한다는 점에서 기존 연구와 차별화된다.</w:t>
      </w:r>
    </w:p>
    <w:p>
      <w:pPr>
        <w:pStyle w:val="Heading2"/>
        <w:spacing w:before="280" w:after="120" w:line="340"/>
      </w:pPr>
      <w:r>
        <w:rPr>
          <w:rFonts w:ascii="Noto Serif KR" w:cs="Noto Serif KR" w:eastAsia="Noto Serif KR" w:hAnsi="Noto Serif KR"/>
          <w:b/>
          <w:bCs/>
          <w:color w:val="003087"/>
          <w:sz w:val="26"/>
          <w:szCs w:val="26"/>
        </w:rPr>
        <w:t xml:space="preserve">2.4 LLM 기반 법률 AI의 현황</w:t>
      </w:r>
    </w:p>
    <w:p>
      <w:pPr>
        <w:spacing w:before="60" w:after="60" w:line="340"/>
        <w:jc w:val="both"/>
      </w:pPr>
      <w:r>
        <w:rPr>
          <w:rFonts w:ascii="Noto Serif KR" w:cs="Noto Serif KR" w:eastAsia="Noto Serif KR" w:hAnsi="Noto Serif KR"/>
          <w:color w:val="1A1A2E"/>
          <w:sz w:val="20"/>
          <w:szCs w:val="20"/>
        </w:rPr>
        <w:t xml:space="preserve">He et al.(2024)의 AgentsCourt, Jiang &amp; Yang(2024)의 AgentsBench, Chen et al.(2025)의 AgentCourt 등이 멀티 에이전트 LLM 기반 법정 시뮬레이션의 가능성을 탐구하였다. 그러나 이들 연구의 공통적 한계로는 ① 단일 연구 주체에 의한 중앙 집중형 운용, ② 실제 법원 판결과의 정량적 비교 검증 부재, ③ 증거 무결성 검증 메커니즘 부재, ④ 분쟁 예방 기능 부재가 있다.</w:t>
      </w:r>
    </w:p>
    <w:p>
      <w:pPr>
        <w:pStyle w:val="Heading2"/>
        <w:spacing w:before="280" w:after="120" w:line="340"/>
      </w:pPr>
      <w:r>
        <w:rPr>
          <w:rFonts w:ascii="Noto Serif KR" w:cs="Noto Serif KR" w:eastAsia="Noto Serif KR" w:hAnsi="Noto Serif KR"/>
          <w:b/>
          <w:bCs/>
          <w:color w:val="003087"/>
          <w:sz w:val="26"/>
          <w:szCs w:val="26"/>
        </w:rPr>
        <w:t xml:space="preserve">2.5 연구 공백의 정의</w:t>
      </w:r>
    </w:p>
    <w:p>
      <w:pPr>
        <w:spacing w:before="60" w:after="60" w:line="340"/>
        <w:jc w:val="both"/>
      </w:pPr>
      <w:r>
        <w:rPr>
          <w:rFonts w:ascii="Noto Serif KR" w:cs="Noto Serif KR" w:eastAsia="Noto Serif KR" w:hAnsi="Noto Serif KR"/>
          <w:color w:val="1A1A2E"/>
          <w:sz w:val="20"/>
          <w:szCs w:val="20"/>
        </w:rPr>
        <w:t xml:space="preserve">위 검토를 종합하면, 다음의 세 가지 요소를 동시에 갖춘 연구는 아직 존재하지 않는다: (a) 소통 기록의 생성 시점부터 분산원장으로 무결성을 보장하는 증거 관리 시스템과 법률 AI의 통합, (b) 운용 주체가 완전히 독립된 이종 LLM 기반 대립 논증 구조, (c) 실제 법원에서 진행된 사건을 대상으로 한 정량적 판결 품질 비교. 본 연구는 이 세 가지를 통합한 K-OpenLaw 시스템의 첫 번째 실증 연구이다.</w:t>
      </w:r>
    </w:p>
    <w:p>
      <w:pPr>
        <w:pageBreakBefore/>
      </w:pPr>
      <w:r>
        <w:t xml:space="preserve"/>
      </w:r>
    </w:p>
    <w:p>
      <w:pPr>
        <w:pStyle w:val="Heading1"/>
        <w:pBdr>
          <w:bottom w:val="single" w:color="003087" w:sz="8" w:space="4"/>
        </w:pBdr>
        <w:spacing w:before="400" w:after="160" w:line="360"/>
      </w:pPr>
      <w:r>
        <w:rPr>
          <w:rFonts w:ascii="Noto Serif KR" w:cs="Noto Serif KR" w:eastAsia="Noto Serif KR" w:hAnsi="Noto Serif KR"/>
          <w:b/>
          <w:bCs/>
          <w:color w:val="001f5b"/>
          <w:sz w:val="32"/>
          <w:szCs w:val="32"/>
        </w:rPr>
        <w:t xml:space="preserve">3. 시스템 아키텍처</w:t>
      </w:r>
    </w:p>
    <w:p>
      <w:pPr>
        <w:pStyle w:val="Heading2"/>
        <w:spacing w:before="280" w:after="120" w:line="340"/>
      </w:pPr>
      <w:r>
        <w:rPr>
          <w:rFonts w:ascii="Noto Serif KR" w:cs="Noto Serif KR" w:eastAsia="Noto Serif KR" w:hAnsi="Noto Serif KR"/>
          <w:b/>
          <w:bCs/>
          <w:color w:val="003087"/>
          <w:sz w:val="26"/>
          <w:szCs w:val="26"/>
        </w:rPr>
        <w:t xml:space="preserve">3.1 OpenHash-고팡-K-OpenLaw 통합 구조</w:t>
      </w:r>
    </w:p>
    <w:p>
      <w:pPr>
        <w:spacing w:before="60" w:after="60" w:line="340"/>
        <w:jc w:val="both"/>
      </w:pPr>
      <w:r>
        <w:rPr>
          <w:rFonts w:ascii="Noto Serif KR" w:cs="Noto Serif KR" w:eastAsia="Noto Serif KR" w:hAnsi="Noto Serif KR"/>
          <w:color w:val="1A1A2E"/>
          <w:sz w:val="20"/>
          <w:szCs w:val="20"/>
        </w:rPr>
        <w:t xml:space="preserve">본 연구가 다루는 시스템은 세 기술 계층의 통합으로 구성된다. 각 계층은 독립적으로 기능하면서도 상호 보완적 선순환을 형성한다.</w:t>
      </w:r>
    </w:p>
    <w:p>
      <w:pPr>
        <w:spacing w:before="60" w:after="60"/>
      </w:pPr>
      <w:r>
        <w:t xml:space="preserve"/>
      </w:r>
    </w:p>
    <w:tbl>
      <w:tblPr>
        <w:tblW w:type="dxa" w:w="7620"/>
        <w:tblBorders>
          <w:top w:val="single" w:color="auto" w:sz="4"/>
          <w:left w:val="single" w:color="auto" w:sz="4"/>
          <w:bottom w:val="single" w:color="auto" w:sz="4"/>
          <w:right w:val="single" w:color="auto" w:sz="4"/>
          <w:insideH w:val="single" w:color="auto" w:sz="4"/>
          <w:insideV w:val="single" w:color="auto" w:sz="4"/>
        </w:tblBorders>
      </w:tblPr>
      <w:tblGrid>
        <w:gridCol w:w="1800"/>
        <w:gridCol w:w="5820"/>
      </w:tblGrid>
      <w:tr>
        <w:tc>
          <w:tcPr>
            <w:tcW w:type="dxa" w:w="1800"/>
            <w:tcBorders>
              <w:top w:val="single" w:color="003087" w:sz="1"/>
              <w:left w:val="single" w:color="003087" w:sz="1"/>
              <w:bottom w:val="single" w:color="003087" w:sz="1"/>
              <w:right w:val="single" w:color="003087" w:sz="1"/>
            </w:tcBorders>
            <w:shd w:fill="003087" w:val="clear"/>
            <w:tcMar>
              <w:top w:type="dxa" w:w="100"/>
              <w:left w:type="dxa" w:w="140"/>
              <w:bottom w:type="dxa" w:w="100"/>
              <w:right w:type="dxa" w:w="140"/>
            </w:tcMar>
          </w:tcPr>
          <w:p>
            <w:pPr>
              <w:jc w:val="center"/>
            </w:pPr>
            <w:r>
              <w:rPr>
                <w:rFonts w:ascii="Noto Serif KR" w:cs="Noto Serif KR" w:eastAsia="Noto Serif KR" w:hAnsi="Noto Serif KR"/>
                <w:b/>
                <w:bCs/>
                <w:color w:val="FFFFFF"/>
                <w:sz w:val="17"/>
                <w:szCs w:val="17"/>
              </w:rPr>
              <w:t xml:space="preserve">Layer 1</w:t>
            </w:r>
          </w:p>
          <w:p>
            <w:pPr>
              <w:jc w:val="center"/>
            </w:pPr>
            <w:r>
              <w:rPr>
                <w:rFonts w:ascii="Noto Serif KR" w:cs="Noto Serif KR" w:eastAsia="Noto Serif KR" w:hAnsi="Noto Serif KR"/>
                <w:b/>
                <w:bCs/>
                <w:color w:val="FFFFFF"/>
                <w:sz w:val="17"/>
                <w:szCs w:val="17"/>
              </w:rPr>
              <w:t xml:space="preserve">소통 플랫폼</w:t>
            </w:r>
          </w:p>
        </w:tc>
        <w:tc>
          <w:tcPr>
            <w:tcW w:type="dxa" w:w="5820"/>
            <w:tcBorders>
              <w:top w:val="single" w:color="003087" w:sz="1"/>
              <w:left w:val="single" w:color="003087" w:sz="1"/>
              <w:bottom w:val="single" w:color="003087" w:sz="1"/>
              <w:right w:val="single" w:color="003087" w:sz="1"/>
            </w:tcBorders>
            <w:shd w:fill="F8F9FC" w:val="clear"/>
            <w:tcMar>
              <w:top w:type="dxa" w:w="100"/>
              <w:left w:type="dxa" w:w="160"/>
              <w:bottom w:type="dxa" w:w="100"/>
              <w:right w:type="dxa" w:w="140"/>
            </w:tcMar>
          </w:tcPr>
          <w:p>
            <w:pPr>
              <w:spacing w:line="320"/>
              <w:jc w:val="both"/>
            </w:pPr>
            <w:r>
              <w:rPr>
                <w:rFonts w:ascii="Noto Serif KR" w:cs="Noto Serif KR" w:eastAsia="Noto Serif KR" w:hAnsi="Noto Serif KR"/>
                <w:color w:val="1A1A2E"/>
                <w:sz w:val="19"/>
                <w:szCs w:val="19"/>
              </w:rPr>
              <w:t xml:space="preserve">고팡(Gopang) — 카카오톡과 유사한 채팅 앱에 AI 비서와 OpenHash를 통합한 차세대 소통 플랫폼. 사용자의 모든 일상 소통·거래·계약이 이루어지는 공간.</w:t>
            </w:r>
          </w:p>
        </w:tc>
      </w:tr>
      <w:tr>
        <w:tc>
          <w:tcPr>
            <w:tcW w:type="dxa" w:w="1800"/>
            <w:tcBorders>
              <w:top w:val="single" w:color="0e6e7e" w:sz="1"/>
              <w:left w:val="single" w:color="0e6e7e" w:sz="1"/>
              <w:bottom w:val="single" w:color="0e6e7e" w:sz="1"/>
              <w:right w:val="single" w:color="0e6e7e" w:sz="1"/>
            </w:tcBorders>
            <w:shd w:fill="0e6e7e" w:val="clear"/>
            <w:tcMar>
              <w:top w:type="dxa" w:w="100"/>
              <w:left w:type="dxa" w:w="140"/>
              <w:bottom w:type="dxa" w:w="100"/>
              <w:right w:type="dxa" w:w="140"/>
            </w:tcMar>
          </w:tcPr>
          <w:p>
            <w:pPr>
              <w:jc w:val="center"/>
            </w:pPr>
            <w:r>
              <w:rPr>
                <w:rFonts w:ascii="Noto Serif KR" w:cs="Noto Serif KR" w:eastAsia="Noto Serif KR" w:hAnsi="Noto Serif KR"/>
                <w:b/>
                <w:bCs/>
                <w:color w:val="FFFFFF"/>
                <w:sz w:val="17"/>
                <w:szCs w:val="17"/>
              </w:rPr>
              <w:t xml:space="preserve">Layer 2</w:t>
            </w:r>
          </w:p>
          <w:p>
            <w:pPr>
              <w:jc w:val="center"/>
            </w:pPr>
            <w:r>
              <w:rPr>
                <w:rFonts w:ascii="Noto Serif KR" w:cs="Noto Serif KR" w:eastAsia="Noto Serif KR" w:hAnsi="Noto Serif KR"/>
                <w:b/>
                <w:bCs/>
                <w:color w:val="FFFFFF"/>
                <w:sz w:val="17"/>
                <w:szCs w:val="17"/>
              </w:rPr>
              <w:t xml:space="preserve">예방·증거 계층</w:t>
            </w:r>
          </w:p>
        </w:tc>
        <w:tc>
          <w:tcPr>
            <w:tcW w:type="dxa" w:w="5820"/>
            <w:tcBorders>
              <w:top w:val="single" w:color="0e6e7e" w:sz="1"/>
              <w:left w:val="single" w:color="0e6e7e" w:sz="1"/>
              <w:bottom w:val="single" w:color="0e6e7e" w:sz="1"/>
              <w:right w:val="single" w:color="0e6e7e" w:sz="1"/>
            </w:tcBorders>
            <w:shd w:fill="F8F9FC" w:val="clear"/>
            <w:tcMar>
              <w:top w:type="dxa" w:w="100"/>
              <w:left w:type="dxa" w:w="160"/>
              <w:bottom w:type="dxa" w:w="100"/>
              <w:right w:type="dxa" w:w="140"/>
            </w:tcMar>
          </w:tcPr>
          <w:p>
            <w:pPr>
              <w:spacing w:line="320"/>
              <w:jc w:val="both"/>
            </w:pPr>
            <w:r>
              <w:rPr>
                <w:rFonts w:ascii="Noto Serif KR" w:cs="Noto Serif KR" w:eastAsia="Noto Serif KR" w:hAnsi="Noto Serif KR"/>
                <w:color w:val="1A1A2E"/>
                <w:sz w:val="19"/>
                <w:szCs w:val="19"/>
              </w:rPr>
              <w:t xml:space="preserve">AI 비서 (실시간 위법 징후 감지·경고) + OpenHash PDV (무결성 보장 증거 자동 보전). 모든 소통을 실시간 분석하여 위법 징후를 경고하고, 모든 기록을 위변조 불가능하게 보존한다.</w:t>
            </w:r>
          </w:p>
        </w:tc>
      </w:tr>
      <w:tr>
        <w:tc>
          <w:tcPr>
            <w:tcW w:type="dxa" w:w="1800"/>
            <w:tcBorders>
              <w:top w:val="single" w:color="7d5a00" w:sz="1"/>
              <w:left w:val="single" w:color="7d5a00" w:sz="1"/>
              <w:bottom w:val="single" w:color="7d5a00" w:sz="1"/>
              <w:right w:val="single" w:color="7d5a00" w:sz="1"/>
            </w:tcBorders>
            <w:shd w:fill="7d5a00" w:val="clear"/>
            <w:tcMar>
              <w:top w:type="dxa" w:w="100"/>
              <w:left w:type="dxa" w:w="140"/>
              <w:bottom w:type="dxa" w:w="100"/>
              <w:right w:type="dxa" w:w="140"/>
            </w:tcMar>
          </w:tcPr>
          <w:p>
            <w:pPr>
              <w:jc w:val="center"/>
            </w:pPr>
            <w:r>
              <w:rPr>
                <w:rFonts w:ascii="Noto Serif KR" w:cs="Noto Serif KR" w:eastAsia="Noto Serif KR" w:hAnsi="Noto Serif KR"/>
                <w:b/>
                <w:bCs/>
                <w:color w:val="FFFFFF"/>
                <w:sz w:val="17"/>
                <w:szCs w:val="17"/>
              </w:rPr>
              <w:t xml:space="preserve">Layer 3</w:t>
            </w:r>
          </w:p>
          <w:p>
            <w:pPr>
              <w:jc w:val="center"/>
            </w:pPr>
            <w:r>
              <w:rPr>
                <w:rFonts w:ascii="Noto Serif KR" w:cs="Noto Serif KR" w:eastAsia="Noto Serif KR" w:hAnsi="Noto Serif KR"/>
                <w:b/>
                <w:bCs/>
                <w:color w:val="FFFFFF"/>
                <w:sz w:val="17"/>
                <w:szCs w:val="17"/>
              </w:rPr>
              <w:t xml:space="preserve">자율 분쟁 해결</w:t>
            </w:r>
          </w:p>
        </w:tc>
        <w:tc>
          <w:tcPr>
            <w:tcW w:type="dxa" w:w="5820"/>
            <w:tcBorders>
              <w:top w:val="single" w:color="7d5a00" w:sz="1"/>
              <w:left w:val="single" w:color="7d5a00" w:sz="1"/>
              <w:bottom w:val="single" w:color="7d5a00" w:sz="1"/>
              <w:right w:val="single" w:color="7d5a00" w:sz="1"/>
            </w:tcBorders>
            <w:shd w:fill="F8F9FC" w:val="clear"/>
            <w:tcMar>
              <w:top w:type="dxa" w:w="100"/>
              <w:left w:type="dxa" w:w="160"/>
              <w:bottom w:type="dxa" w:w="100"/>
              <w:right w:type="dxa" w:w="140"/>
            </w:tcMar>
          </w:tcPr>
          <w:p>
            <w:pPr>
              <w:spacing w:line="320"/>
              <w:jc w:val="both"/>
            </w:pPr>
            <w:r>
              <w:rPr>
                <w:rFonts w:ascii="Noto Serif KR" w:cs="Noto Serif KR" w:eastAsia="Noto Serif KR" w:hAnsi="Noto Serif KR"/>
                <w:color w:val="1A1A2E"/>
                <w:sz w:val="19"/>
                <w:szCs w:val="19"/>
              </w:rPr>
              <w:t xml:space="preserve">K-OpenLaw (이종 LLM 5모듈 아키텍처) + 인간 법원 최종 승인. Layer 2에서 예방하지 못한 분쟁을 신속·공정하게 해결하며, 인간 법관의 최종 승인으로 법적 권위를 보장한다.</w:t>
            </w:r>
          </w:p>
        </w:tc>
      </w:tr>
    </w:tbl>
    <w:p>
      <w:pPr>
        <w:spacing w:before="60" w:after="60"/>
      </w:pPr>
      <w:r>
        <w:t xml:space="preserve"/>
      </w:r>
    </w:p>
    <w:p>
      <w:pPr>
        <w:spacing w:before="60" w:after="60" w:line="340"/>
        <w:jc w:val="both"/>
      </w:pPr>
      <w:r>
        <w:rPr>
          <w:rFonts w:ascii="Noto Serif KR" w:cs="Noto Serif KR" w:eastAsia="Noto Serif KR" w:hAnsi="Noto Serif KR"/>
          <w:color w:val="1A1A2E"/>
          <w:sz w:val="20"/>
          <w:szCs w:val="20"/>
        </w:rPr>
        <w:t xml:space="preserve">선순환 구조: Layer 1에서 소통이 생성되는 즉시 PDV 암호화 저장 및 OpenHash 등록이 이루어진다. Layer 2에서 예방에 실패한 분쟁이 발생하면, 무결성 증명된 증거 패키지가 Layer 3(K-OpenLaw)으로 전달된다. K-OpenLaw의 우수한 해결 능력은 Layer 2 예방 기능의 신뢰도를 높이는 선순환을 형성한다.</w:t>
      </w:r>
    </w:p>
    <w:p>
      <w:pPr>
        <w:pStyle w:val="Heading2"/>
        <w:spacing w:before="280" w:after="120" w:line="340"/>
      </w:pPr>
      <w:r>
        <w:rPr>
          <w:rFonts w:ascii="Noto Serif KR" w:cs="Noto Serif KR" w:eastAsia="Noto Serif KR" w:hAnsi="Noto Serif KR"/>
          <w:b/>
          <w:bCs/>
          <w:color w:val="003087"/>
          <w:sz w:val="26"/>
          <w:szCs w:val="26"/>
        </w:rPr>
        <w:t xml:space="preserve">3.2 OpenHash 분산원장 기술</w:t>
      </w:r>
    </w:p>
    <w:p>
      <w:pPr>
        <w:spacing w:before="60" w:after="60" w:line="340"/>
        <w:jc w:val="both"/>
      </w:pPr>
      <w:r>
        <w:rPr>
          <w:rFonts w:ascii="Noto Serif KR" w:cs="Noto Serif KR" w:eastAsia="Noto Serif KR" w:hAnsi="Noto Serif KR"/>
          <w:b w:val="false"/>
          <w:bCs w:val="false"/>
          <w:i w:val="false"/>
          <w:iCs w:val="false"/>
          <w:color w:val="1A1A2E"/>
          <w:sz w:val="20"/>
          <w:szCs w:val="20"/>
        </w:rPr>
        <w:t xml:space="preserve">오픈해시(OpenHash)는 </w:t>
      </w:r>
      <w:r>
        <w:rPr>
          <w:rFonts w:ascii="Noto Serif KR" w:cs="Noto Serif KR" w:eastAsia="Noto Serif KR" w:hAnsi="Noto Serif KR"/>
          <w:b/>
          <w:bCs/>
          <w:i w:val="false"/>
          <w:iCs w:val="false"/>
          <w:color w:val="003087"/>
          <w:sz w:val="20"/>
          <w:szCs w:val="20"/>
        </w:rPr>
        <w:t xml:space="preserve">블록체인의 고비용 문제에 대한 근본적 해법이다.</w:t>
      </w:r>
      <w:r>
        <w:rPr>
          <w:rFonts w:ascii="Noto Serif KR" w:cs="Noto Serif KR" w:eastAsia="Noto Serif KR" w:hAnsi="Noto Serif KR"/>
          <w:b w:val="false"/>
          <w:bCs w:val="false"/>
          <w:i w:val="false"/>
          <w:iCs w:val="false"/>
          <w:color w:val="1A1A2E"/>
          <w:sz w:val="20"/>
          <w:szCs w:val="20"/>
        </w:rPr>
        <w:t xml:space="preserve"> 비트코인·이더리움 등 기존 블록체인은 작업증명(PoW) 또는 지분증명(PoS) 합의에 막대한 연산 자원과 전력을 소비하여 운용 비용이 높고 확장이 어렵다는 구조적 한계를 지닌다. OpenHash는 이 합의 메커니즘을 기존 통신 인프라의 물리적 계층 구조로 대체함으로써, 별도의 채굴 연산 없이 데이터 무결성을 보장한다. 그 결과 </w:t>
      </w:r>
      <w:r>
        <w:rPr>
          <w:rFonts w:ascii="Noto Serif KR" w:cs="Noto Serif KR" w:eastAsia="Noto Serif KR" w:hAnsi="Noto Serif KR"/>
          <w:b/>
          <w:bCs/>
          <w:i w:val="false"/>
          <w:iCs w:val="false"/>
          <w:color w:val="003087"/>
          <w:sz w:val="20"/>
          <w:szCs w:val="20"/>
        </w:rPr>
        <w:t xml:space="preserve">운용 비용이 없거나 경미한(zero-cost or near-zero-cost) 분산원장 기술</w:t>
      </w:r>
      <w:r>
        <w:rPr>
          <w:rFonts w:ascii="Noto Serif KR" w:cs="Noto Serif KR" w:eastAsia="Noto Serif KR" w:hAnsi="Noto Serif KR"/>
          <w:b w:val="false"/>
          <w:bCs w:val="false"/>
          <w:i w:val="false"/>
          <w:iCs w:val="false"/>
          <w:color w:val="1A1A2E"/>
          <w:sz w:val="20"/>
          <w:szCs w:val="20"/>
        </w:rPr>
        <w:t xml:space="preserve">을 실현한다(특허출원 제10-2026-0018910호).</w:t>
      </w:r>
    </w:p>
    <w:p>
      <w:pPr>
        <w:spacing w:before="60" w:after="60"/>
      </w:pPr>
      <w:r>
        <w:t xml:space="preserve"/>
      </w:r>
    </w:p>
    <w:p>
      <w:pPr>
        <w:spacing w:before="60" w:after="60" w:line="340"/>
        <w:jc w:val="both"/>
      </w:pPr>
      <w:r>
        <w:rPr>
          <w:rFonts w:ascii="Noto Serif KR" w:cs="Noto Serif KR" w:eastAsia="Noto Serif KR" w:hAnsi="Noto Serif KR"/>
          <w:color w:val="1A1A2E"/>
          <w:sz w:val="20"/>
          <w:szCs w:val="20"/>
        </w:rPr>
        <w:t xml:space="preserve">이 비용 구조적 특성은 법률 분야 적용에서 특히 중요하다. OpenHash는 개인 사용자의 일상적 소통 기록부터 기업의 대규모 거래 내역까지 모든 데이터를 경제적 부담 없이 실시간으로 무결성 보장할 수 있다. 이는 고팡을 통해 오가는 모든 소통이 추가 비용 없이 자동으로 법적 증거로서의 무결성을 갖추게 됨을 의미한다.</w:t>
      </w:r>
    </w:p>
    <w:p>
      <w:pPr>
        <w:spacing w:before="60" w:after="60"/>
      </w:pPr>
      <w:r>
        <w:t xml:space="preserve"/>
      </w:r>
    </w:p>
    <w:p>
      <w:pPr>
        <w:spacing w:before="60" w:after="60" w:line="340"/>
        <w:jc w:val="both"/>
      </w:pPr>
      <w:r>
        <w:rPr>
          <w:rFonts w:ascii="Noto Serif KR" w:cs="Noto Serif KR" w:eastAsia="Noto Serif KR" w:hAnsi="Noto Serif KR"/>
          <w:color w:val="1A1A2E"/>
          <w:sz w:val="20"/>
          <w:szCs w:val="20"/>
        </w:rPr>
        <w:t xml:space="preserve">핵심 구조는 읍면동(60%)→시군구(30%)→광역시도(9%)→국가(1%) 4단계의 확률적 계층 선택 방식이다. SHA-256 이중 재해싱 결과값을 기반으로 계층을 선택하고, BLS 서명으로 등록한다. 분쟁 해결에서의 법적 함의: (1) 소통 기록의 사후 위변조가 기술적으로 불가능하여 증거 진정성 논쟁 자체가 원천 제거된다. (2) 타임스탬프의 무결성 보장으로 사건 발생 시간순서의 조작이 불가하다. (3) 읍면동 단위 분산 저장으로 단일 노드 공격에도 전체 기록이 보호된다. (성능 수치 상세: 부록 K)</w:t>
      </w:r>
    </w:p>
    <w:p>
      <w:pPr>
        <w:pStyle w:val="Heading2"/>
        <w:spacing w:before="280" w:after="120" w:line="340"/>
      </w:pPr>
      <w:r>
        <w:rPr>
          <w:rFonts w:ascii="Noto Serif KR" w:cs="Noto Serif KR" w:eastAsia="Noto Serif KR" w:hAnsi="Noto Serif KR"/>
          <w:b/>
          <w:bCs/>
          <w:color w:val="003087"/>
          <w:sz w:val="26"/>
          <w:szCs w:val="26"/>
        </w:rPr>
        <w:t xml:space="preserve">3.3 고팡(Gopang) 소통 플랫폼</w:t>
      </w:r>
    </w:p>
    <w:p>
      <w:pPr>
        <w:pBdr>
          <w:left w:val="single" w:color="C9A000" w:sz="12" w:space="8"/>
        </w:pBdr>
        <w:shd w:fill="FFF8E1" w:val="clear"/>
        <w:spacing w:before="80" w:after="80" w:line="320"/>
        <w:ind w:left="400" w:right="400"/>
        <w:jc w:val="both"/>
      </w:pPr>
      <w:r>
        <w:rPr>
          <w:rFonts w:ascii="Noto Serif KR" w:cs="Noto Serif KR" w:eastAsia="Noto Serif KR" w:hAnsi="Noto Serif KR"/>
          <w:color w:val="6B4C00"/>
          <w:sz w:val="18"/>
          <w:szCs w:val="18"/>
        </w:rPr>
        <w:t xml:space="preserve">한 줄 정의: 고팡은 카카오톡과 같은 채팅 앱에 AI 비서(AI Agent)와 OpenHash 분산원장 기술을 결합한 차세대 소통 플랫폼이다. 인공지능과 데이터 무결성 기술을 개개인의 일상과 업무에 24시간 365일 연결하는 도구이자, 이 두 기술의 매개체이다.</w:t>
      </w:r>
    </w:p>
    <w:p>
      <w:pPr>
        <w:spacing w:before="60" w:after="60"/>
      </w:pPr>
      <w:r>
        <w:t xml:space="preserve"/>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AI 비서(AI Agent): 각 사용자에게 1:1로 전용 AI 비서가 배정된다. AI 비서는 대화·계약·거래 내용을 실시간으로 분석하여 법적 위험을 경고하고, 법률·의료·금융·행정 등 수백 개 분야에서 24시간 365일 개인 맞춤 보조를 제공한다.</w:t>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OpenHash 분산원장: 고팡을 통해 오가는 모든 소통과 거래 기록은 생성 즉시 암호화 해시값으로 변환되어 계층 분산 네트워크에 등록된다. 한 번 기록된 데이터는 사후 위변조가 기술적으로 불가능하다.</w:t>
      </w:r>
    </w:p>
    <w:p>
      <w:pPr>
        <w:spacing w:before="60" w:after="60"/>
      </w:pPr>
      <w:r>
        <w:t xml:space="preserve"/>
      </w:r>
    </w:p>
    <w:p>
      <w:pPr>
        <w:spacing w:before="60" w:after="60" w:line="340"/>
        <w:jc w:val="both"/>
      </w:pPr>
      <w:r>
        <w:rPr>
          <w:rFonts w:ascii="Noto Serif KR" w:cs="Noto Serif KR" w:eastAsia="Noto Serif KR" w:hAnsi="Noto Serif KR"/>
          <w:color w:val="1A1A2E"/>
          <w:sz w:val="20"/>
          <w:szCs w:val="20"/>
        </w:rPr>
        <w:t xml:space="preserve">예방 법학(Preventive Law) 기능 — AI 비서의 예방 법학 기능(101-P)은 다음을 수행한다: ① 고팡을 통해 오가는 모든 대화를 24시간/365일 실시간 분석 ② 위법 가능성 점수 산출(0.0 무위험 ~ 1.0 즉각 위험) ③ 3단계 경고 발령: 주의(101-P1, 점수 0.3↑), 경고(101-P2, 점수 0.6↑), 긴급경고(101-P3, 점수 0.85↑) ④ 경고 이력·근거 법조항·타임스탬프를 PDV에 기록 + OpenHash 등록</w:t>
      </w:r>
    </w:p>
    <w:p>
      <w:pPr>
        <w:pStyle w:val="Heading2"/>
        <w:spacing w:before="280" w:after="120" w:line="340"/>
      </w:pPr>
      <w:r>
        <w:rPr>
          <w:rFonts w:ascii="Noto Serif KR" w:cs="Noto Serif KR" w:eastAsia="Noto Serif KR" w:hAnsi="Noto Serif KR"/>
          <w:b/>
          <w:bCs/>
          <w:color w:val="003087"/>
          <w:sz w:val="26"/>
          <w:szCs w:val="26"/>
        </w:rPr>
        <w:t xml:space="preserve">3.4 K-OpenLaw 자율 분쟁 해결 시스템</w:t>
      </w:r>
    </w:p>
    <w:p>
      <w:pPr>
        <w:spacing w:before="60" w:after="60" w:line="340"/>
        <w:jc w:val="both"/>
      </w:pPr>
      <w:r>
        <w:rPr>
          <w:rFonts w:ascii="Noto Serif KR" w:cs="Noto Serif KR" w:eastAsia="Noto Serif KR" w:hAnsi="Noto Serif KR"/>
          <w:color w:val="1A1A2E"/>
          <w:sz w:val="20"/>
          <w:szCs w:val="20"/>
        </w:rPr>
        <w:t xml:space="preserve">K-OpenLaw는 5모듈 이종 LLM 아키텍처로 구성된다(특허출원 제10-2026-0039504호).</w:t>
      </w:r>
    </w:p>
    <w:p>
      <w:pPr>
        <w:spacing w:before="60" w:after="60"/>
      </w:pPr>
      <w:r>
        <w:t xml:space="preserve"/>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모듈 1·2 (균형적 대변자 에이전트): 원고 측(모듈 1)과 피고 측(모듈 2)이 각각 독립된 LLM을 사용. 6단계 규범 위계 강제(헌법→조약→특별법→일반법→시행령→판례), 5문항 자기검증 테스트, 운용 주체 완전 독립.</w:t>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모듈 3 (논쟁 관리 엔진): 법률 특화 NLP로 대변자 발언 실시간 파싱·쟁점 추출, 합의 지도(JSON) 실시간 생성. 5개 종료 트리거 감시: ① 반복 ② 규범역전 ③ 증거결여 ④ 인도적 한계(VHI≥0.9) ⑤ 합의달성(APS≥0.7)</w:t>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모듈 4 (판정 패널): 이종 LLM 2개 이상(본 연구: GPT-4o + Gemini). 4라운드 합의 절차 → 교착 시 5단계 해소 → 불가 시 인간 법원 회부.</w:t>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모듈 5 (절차 관리): 비판단적 절차 전담. 모든 절차 로그를 OpenHash 공개 원장에 등록.</w:t>
      </w:r>
    </w:p>
    <w:p>
      <w:pPr>
        <w:pStyle w:val="Heading2"/>
        <w:spacing w:before="280" w:after="120" w:line="340"/>
      </w:pPr>
      <w:r>
        <w:rPr>
          <w:rFonts w:ascii="Noto Serif KR" w:cs="Noto Serif KR" w:eastAsia="Noto Serif KR" w:hAnsi="Noto Serif KR"/>
          <w:b/>
          <w:bCs/>
          <w:color w:val="003087"/>
          <w:sz w:val="26"/>
          <w:szCs w:val="26"/>
        </w:rPr>
        <w:t xml:space="preserve">3.5 K-OpenLaw의 실제 소송 적용 구조</w:t>
      </w:r>
    </w:p>
    <w:p>
      <w:pPr>
        <w:spacing w:before="60" w:after="60" w:line="340"/>
        <w:jc w:val="both"/>
      </w:pPr>
      <w:r>
        <w:rPr>
          <w:rFonts w:ascii="Noto Serif KR" w:cs="Noto Serif KR" w:eastAsia="Noto Serif KR" w:hAnsi="Noto Serif KR"/>
          <w:color w:val="1A1A2E"/>
          <w:sz w:val="20"/>
          <w:szCs w:val="20"/>
        </w:rPr>
        <w:t xml:space="preserve">K-OpenLaw는 독립된 판결 주체라기보다, 원고 측 법리 형성을 지원하는 지능형 에이전트로 설계되었다. 본 연구 사건에서 법률 대리인을 두지 않은 원고는 AI 전문가(비법조인)의 기술적 지원을 받아 K-OpenLaw를 직접 활용하여 각 심급의 준비서면 및 법리 논거를 작성하는 데 활용하였다.</w:t>
      </w:r>
    </w:p>
    <w:p>
      <w:pPr>
        <w:spacing w:before="60" w:after="60"/>
      </w:pPr>
      <w:r>
        <w:t xml:space="preserve"/>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1심: K-OpenLaw 분석 결과 ↔ 피고 측 변호인단(법무팀·전속변호사·복변호사)의 주장 + 1심 판결문</w:t>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2심: K-OpenLaw 분석 결과 ↔ 피고 측 변호인단 주장 + 1심 판결문의 법리 + 2심 판결문(항소심 판사 3인)</w:t>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3심(상고심): K-OpenLaw 분석 결과 ↔ 피고 측 변호인단 주장 + 1·2심 판결문의 법리 + 대법원 판단(판결 선고 후 추가 분석 예정)</w:t>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(잠재적) 헌법소원: K-OpenLaw 분석 결과 ↔ 기존 모든 심급 법리 + 헌법재판소의 헌법적 해석</w:t>
      </w:r>
    </w:p>
    <w:p>
      <w:pPr>
        <w:spacing w:before="60" w:after="60"/>
      </w:pPr>
      <w:r>
        <w:t xml:space="preserve"/>
      </w:r>
    </w:p>
    <w:p>
      <w:pPr>
        <w:pBdr>
          <w:left w:val="single" w:color="C9A000" w:sz="12" w:space="8"/>
        </w:pBdr>
        <w:shd w:fill="FFF8E1" w:val="clear"/>
        <w:spacing w:before="80" w:after="80" w:line="320"/>
        <w:ind w:left="400" w:right="400"/>
        <w:jc w:val="both"/>
      </w:pPr>
      <w:r>
        <w:rPr>
          <w:rFonts w:ascii="Noto Serif KR" w:cs="Noto Serif KR" w:eastAsia="Noto Serif KR" w:hAnsi="Noto Serif KR"/>
          <w:color w:val="6B4C00"/>
          <w:sz w:val="18"/>
          <w:szCs w:val="18"/>
        </w:rPr>
        <w:t xml:space="preserve">중요: 이 비교는 어느 한쪽의 우열을 가리기 위한 것이 아니라, 동일한 법적 쟁점에 대해 각 주체가 채택한 법리적 근거의 구조적 차이와 규범 위계 부합성을 객관적으로 분석하는 데 목적이 있다. 본 논문은 1심 및 2심 단계의 비교 결과를 집중적으로 보고하며, 상고심 및 이후 단계는 후속 연구에서 다룰 예정이다.</w:t>
      </w:r>
    </w:p>
    <w:p>
      <w:pPr>
        <w:pStyle w:val="Heading2"/>
        <w:spacing w:before="280" w:after="120" w:line="340"/>
      </w:pPr>
      <w:r>
        <w:rPr>
          <w:rFonts w:ascii="Noto Serif KR" w:cs="Noto Serif KR" w:eastAsia="Noto Serif KR" w:hAnsi="Noto Serif KR"/>
          <w:b/>
          <w:bCs/>
          <w:color w:val="003087"/>
          <w:sz w:val="26"/>
          <w:szCs w:val="26"/>
        </w:rPr>
        <w:t xml:space="preserve">3.6 PDV + OpenHash 증거 무결성 통합 절차</w:t>
      </w:r>
    </w:p>
    <w:p>
      <w:pPr>
        <w:spacing w:before="60" w:after="60" w:line="340"/>
        <w:jc w:val="both"/>
      </w:pPr>
      <w:r>
        <w:rPr>
          <w:rFonts w:ascii="Noto Serif KR" w:cs="Noto Serif KR" w:eastAsia="Noto Serif KR" w:hAnsi="Noto Serif KR"/>
          <w:color w:val="1A1A2E"/>
          <w:sz w:val="20"/>
          <w:szCs w:val="20"/>
        </w:rPr>
        <w:t xml:space="preserve">분쟁 발생 시 AI 비서가 자동 수행하는 절차: ① PDV에서 관련 증거 자동 탐색(NLP 기반) ② 각 증거 항목에 대한 사용자 명시적 동의 획득 ③ OpenHash 네트워크에 해시값 재검증 ④ 해시값 + 등록 계층 + 검증 결과를 포함하는 증거 패키지 JSON 생성 ⑤ 모듈 5에 전송; 모듈 5는 대변자·판정자 전달 전 재검증</w:t>
      </w:r>
    </w:p>
    <w:p>
      <w:pPr>
        <w:spacing w:before="60" w:after="60"/>
      </w:pPr>
      <w:r>
        <w:t xml:space="preserve"/>
      </w:r>
    </w:p>
    <w:p>
      <w:pPr>
        <w:spacing w:before="60" w:after="60" w:line="340"/>
        <w:jc w:val="both"/>
      </w:pPr>
      <w:r>
        <w:rPr>
          <w:rFonts w:ascii="Noto Serif KR" w:cs="Noto Serif KR" w:eastAsia="Noto Serif KR" w:hAnsi="Noto Serif KR"/>
          <w:color w:val="1A1A2E"/>
          <w:sz w:val="20"/>
          <w:szCs w:val="20"/>
        </w:rPr>
        <w:t xml:space="preserve">핵심 효과: 증거 무결성 분쟁이 원천 차단됨으로써 논쟁이 사실 다툼이 아닌 순수한 법리 논쟁으로 집중된다. 이는 기존 ODR 시스템 대비 근본적인 차별점이다.</w:t>
      </w:r>
    </w:p>
    <w:p>
      <w:pPr>
        <w:pageBreakBefore/>
      </w:pPr>
      <w:r>
        <w:t xml:space="preserve"/>
      </w:r>
    </w:p>
    <w:p>
      <w:pPr>
        <w:pStyle w:val="Heading1"/>
        <w:pBdr>
          <w:bottom w:val="single" w:color="003087" w:sz="8" w:space="4"/>
        </w:pBdr>
        <w:spacing w:before="400" w:after="160" w:line="360"/>
      </w:pPr>
      <w:r>
        <w:rPr>
          <w:rFonts w:ascii="Noto Serif KR" w:cs="Noto Serif KR" w:eastAsia="Noto Serif KR" w:hAnsi="Noto Serif KR"/>
          <w:b/>
          <w:bCs/>
          <w:color w:val="001f5b"/>
          <w:sz w:val="32"/>
          <w:szCs w:val="32"/>
        </w:rPr>
        <w:t xml:space="preserve">4. 연구 방법론</w:t>
      </w:r>
    </w:p>
    <w:p>
      <w:pPr>
        <w:pStyle w:val="Heading2"/>
        <w:spacing w:before="280" w:after="120" w:line="340"/>
      </w:pPr>
      <w:r>
        <w:rPr>
          <w:rFonts w:ascii="Noto Serif KR" w:cs="Noto Serif KR" w:eastAsia="Noto Serif KR" w:hAnsi="Noto Serif KR"/>
          <w:b/>
          <w:bCs/>
          <w:color w:val="003087"/>
          <w:sz w:val="26"/>
          <w:szCs w:val="26"/>
        </w:rPr>
        <w:t xml:space="preserve">4.1 사례 선정</w:t>
      </w:r>
    </w:p>
    <w:p>
      <w:pPr>
        <w:spacing w:before="60" w:after="60" w:line="340"/>
        <w:jc w:val="both"/>
      </w:pPr>
      <w:r>
        <w:rPr>
          <w:rFonts w:ascii="Noto Serif KR" w:cs="Noto Serif KR" w:eastAsia="Noto Serif KR" w:hAnsi="Noto Serif KR"/>
          <w:color w:val="1A1A2E"/>
          <w:sz w:val="20"/>
          <w:szCs w:val="20"/>
        </w:rPr>
        <w:t xml:space="preserve">경제적 취약계층에 속하는 자력 소송 원고 대 공기업 임대인(피고) 간 임대차보증금 반환 분쟁을 분석 대상으로 선정하였다. 이론적 목적 표집(theoretical purposive sampling, Yin 2018)에 의한 선정 이유:</w:t>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법적 복잡성: 파산법(채무자회생법), 민사소송법, 임대차법, 헌법상 주거권, 공기업 특별 의무가 교차하는 고난도 복합 법적 쟁점</w:t>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취약계층 맥락: 법률 대리인 없이 진행된 자력 소송으로, 사법접근권 문제의 핵심 사례</w:t>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전 심급 포괄: 1심·2심 판결 확정, 대법원 상고 진행 중</w:t>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명확한 법적 하자: 양 심급에 변론주의 위반이라는 절차적 오류 포함</w:t>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누적 비교 가능성: 1심부터 상고심까지 전 심급에 걸쳐 판결문이 순차 확정됨으로써, 각 심급의 법리 해석을 K-OpenLaw 분석 결과와 단계적으로 비교할 수 있는 이상적인 조건을 갖추고 있다.</w:t>
      </w:r>
    </w:p>
    <w:p>
      <w:pPr>
        <w:spacing w:before="60" w:after="60"/>
      </w:pPr>
      <w:r>
        <w:t xml:space="preserve"/>
      </w:r>
    </w:p>
    <w:p>
      <w:pPr>
        <w:spacing w:before="60" w:after="60" w:line="340"/>
        <w:jc w:val="both"/>
      </w:pPr>
      <w:r>
        <w:rPr>
          <w:rFonts w:ascii="Noto Serif KR" w:cs="Noto Serif KR" w:eastAsia="Noto Serif KR" w:hAnsi="Noto Serif KR"/>
          <w:color w:val="1A1A2E"/>
          <w:sz w:val="20"/>
          <w:szCs w:val="20"/>
        </w:rPr>
        <w:t xml:space="preserve">특히, 이 사건은 K-OpenLaw 시스템이 실제 소송에서 원고 측 법리 지원 도구로 활용됨으로써, 동일한 사실관계에 대해 AI의 법리 분석 결과와 인간 법조인(변호인단 및 법원)의 법리 판단을 체계적으로 대비·비교할 수 있는 보기 드문 기회를 제공한다. 이는 통제된 실험실 조건이 아닌 실전적 맥락(in vivo context)에서 AI의 법리 능력을 검증할 수 있는 중요한 방법론적 특징이다.</w:t>
      </w:r>
    </w:p>
    <w:p>
      <w:pPr>
        <w:pStyle w:val="Heading2"/>
        <w:spacing w:before="280" w:after="120" w:line="340"/>
      </w:pPr>
      <w:r>
        <w:rPr>
          <w:rFonts w:ascii="Noto Serif KR" w:cs="Noto Serif KR" w:eastAsia="Noto Serif KR" w:hAnsi="Noto Serif KR"/>
          <w:b/>
          <w:bCs/>
          <w:color w:val="003087"/>
          <w:sz w:val="26"/>
          <w:szCs w:val="26"/>
        </w:rPr>
        <w:t xml:space="preserve">4.2 판결 품질 평가 방법론</w:t>
      </w:r>
    </w:p>
    <w:p>
      <w:pPr>
        <w:spacing w:before="60" w:after="60" w:line="340"/>
        <w:jc w:val="both"/>
      </w:pPr>
      <w:r>
        <w:rPr>
          <w:rFonts w:ascii="Noto Serif KR" w:cs="Noto Serif KR" w:eastAsia="Noto Serif KR" w:hAnsi="Noto Serif KR"/>
          <w:color w:val="1A1A2E"/>
          <w:sz w:val="20"/>
          <w:szCs w:val="20"/>
        </w:rPr>
        <w:t xml:space="preserve">5개 차원, 각 100점 만점의 구조화된 평가 방법론을 적용한다. 각 차원의 핵심 루브릭 요약:</w:t>
      </w:r>
    </w:p>
    <w:p>
      <w:pPr>
        <w:spacing w:before="60" w:after="60"/>
      </w:pPr>
      <w:r>
        <w:t xml:space="preserve"/>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차원 I — 공정성(Fairness, 100점): 변론주의 준수(최대 -50점), 양측 균형 검토(최대 -20점), 취약계층 보호(최대 -15점), 석명의무 이행(최대 -15점)</w:t>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차원 II — 객관성(Objectivity, 100점): 증거 기반 사실인정(최대 -30점), 증거 채택·배척 이유 명시(최대 -25점), 증인 신청 처리(최대 -25점), 논리적 추론 타당성(최대 -20점)</w:t>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차원 III — 합리성(Rationality, 100점): 규범 위계 준수(최대 -40점), 쟁점 망라성(최대 -30점), 대안 법리 검토(최대 -30점)</w:t>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차원 IV — 사실정확성(Factual Accuracy, 100점): 증거 기록 부합성(최대 -40점), 시간순서 정확성(최대 -35점), 중요 사실 누락(최대 -25점)</w:t>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차원 V — 법적정당성(Legal Legitimacy, 100점): 적용 법령 정확성(최대 -35점), 헌법적 가치 고려(최대 -30점), 결론 논리 도출(최대 -35점)</w:t>
      </w:r>
    </w:p>
    <w:p>
      <w:pPr>
        <w:spacing w:before="60" w:after="60"/>
      </w:pPr>
      <w:r>
        <w:t xml:space="preserve"/>
      </w:r>
    </w:p>
    <w:p>
      <w:pPr>
        <w:pStyle w:val="Heading3"/>
        <w:spacing w:before="200" w:after="80" w:line="340"/>
      </w:pPr>
      <w:r>
        <w:rPr>
          <w:rFonts w:ascii="Noto Serif KR" w:cs="Noto Serif KR" w:eastAsia="Noto Serif KR" w:hAnsi="Noto Serif KR"/>
          <w:b/>
          <w:bCs/>
          <w:color w:val="001f5b"/>
          <w:sz w:val="22"/>
          <w:szCs w:val="22"/>
        </w:rPr>
        <w:t xml:space="preserve">평가자 편향 문제 및 대응</w:t>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이종 LLM 교차 검증: Claude Sonnet, GPT-4o, DeepSeek R1 3개 모델이 동일 루브릭으로 독립 평가 후 결과 비교</w:t>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루브릭의 사전 공개: 평가 전 모든 기준과 감점 근거를 부록 H에 명시하여 재현 가능성(reproducibility) 확보</w:t>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제3 법학 연구자 집단에 의한 교차 평가 구조: K-OpenLaw의 분석 결과물과 각 심급의 실제 판결문을 모두 익명화한 상태에서 법학 연구자들에게 제공하고, 동일한 루브릭(부록 H)으로 독립 채점하도록 하는 블라인드 교차 평가를 설계하였다. 평가자 간 신뢰도(Cohen's κ)를 측정하며, κ ≥ 0.61(실질적 일치) 미달 시 루브릭을 재정비한다.</w:t>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한계 명시: 본 정량 결과는 독립 평가 완료 전까지 탐색적(exploratory) 데이터로 해석되어야 한다.</w:t>
      </w:r>
    </w:p>
    <w:p>
      <w:pPr>
        <w:spacing w:before="60" w:after="60"/>
      </w:pPr>
      <w:r>
        <w:t xml:space="preserve"/>
      </w:r>
    </w:p>
    <w:p>
      <w:pPr>
        <w:pBdr>
          <w:left w:val="single" w:color="C9A000" w:sz="12" w:space="8"/>
        </w:pBdr>
        <w:shd w:fill="FFF8E1" w:val="clear"/>
        <w:spacing w:before="80" w:after="80" w:line="320"/>
        <w:ind w:left="400" w:right="400"/>
        <w:jc w:val="both"/>
      </w:pPr>
      <w:r>
        <w:rPr>
          <w:rFonts w:ascii="Noto Serif KR" w:cs="Noto Serif KR" w:eastAsia="Noto Serif KR" w:hAnsi="Noto Serif KR"/>
          <w:color w:val="6B4C00"/>
          <w:sz w:val="18"/>
          <w:szCs w:val="18"/>
        </w:rPr>
        <w:t xml:space="preserve">본 평가의 목적은, 개별 법조인이 직면하는 인지적 편향과 제한된 정보 처리 능력을 보완할 합리적 방안을 도출하는 데 있다. 따라서 이 평가는 AI와 인간 법원 중 어느 쪽이 우월한지를 가리기 위한 것이 아니다. 동일한 법적 쟁점에 대해 각 주체가 채택한 법리적 근거의 구조적 차이와 규범 위계 부합성을 객관적으로 비교함으로써, AI 시스템이 사법 보조 도구로서 기존 법조인의 사회적 기능을 어떤 방식으로 보완하고 강화할 수 있을지에 대한 기초 자료를 제공하는 것이 이 평가의 적극적 목표이다.</w:t>
      </w:r>
    </w:p>
    <w:p>
      <w:pPr>
        <w:pStyle w:val="Heading2"/>
        <w:spacing w:before="280" w:after="120" w:line="340"/>
      </w:pPr>
      <w:r>
        <w:rPr>
          <w:rFonts w:ascii="Noto Serif KR" w:cs="Noto Serif KR" w:eastAsia="Noto Serif KR" w:hAnsi="Noto Serif KR"/>
          <w:b/>
          <w:bCs/>
          <w:color w:val="003087"/>
          <w:sz w:val="26"/>
          <w:szCs w:val="26"/>
        </w:rPr>
        <w:t xml:space="preserve">4.3 연구 설계의 한계</w:t>
      </w:r>
    </w:p>
    <w:p>
      <w:pPr>
        <w:spacing w:before="60" w:after="60" w:line="340"/>
        <w:jc w:val="both"/>
      </w:pPr>
      <w:r>
        <w:rPr>
          <w:rFonts w:ascii="Noto Serif KR" w:cs="Noto Serif KR" w:eastAsia="Noto Serif KR" w:hAnsi="Noto Serif KR"/>
          <w:color w:val="1A1A2E"/>
          <w:sz w:val="20"/>
          <w:szCs w:val="20"/>
        </w:rPr>
        <w:t xml:space="preserve">본 연구는 단일 사례 연구(N=1)이다. 이는 시스템의 성능을 탐색하는 초기 실증 연구로서의 의의를 갖지만, 결과의 광범위한 일반화는 허용하지 않는다. 본 연구가 제공할 수 있는 것은 "K-OpenLaw 시스템의 법리 분석 능력에 대한 실증적 근거"이며, "모든 사건 유형에 대한 성능 보장"이나 "분쟁 예방 효과의 직접 증명"이 아님을 명시한다.</w:t>
      </w:r>
    </w:p>
    <w:p>
      <w:pPr>
        <w:pageBreakBefore/>
      </w:pPr>
      <w:r>
        <w:t xml:space="preserve"/>
      </w:r>
    </w:p>
    <w:p>
      <w:pPr>
        <w:pStyle w:val="Heading1"/>
        <w:pBdr>
          <w:bottom w:val="single" w:color="003087" w:sz="8" w:space="4"/>
        </w:pBdr>
        <w:spacing w:before="400" w:after="160" w:line="360"/>
      </w:pPr>
      <w:r>
        <w:rPr>
          <w:rFonts w:ascii="Noto Serif KR" w:cs="Noto Serif KR" w:eastAsia="Noto Serif KR" w:hAnsi="Noto Serif KR"/>
          <w:b/>
          <w:bCs/>
          <w:color w:val="001f5b"/>
          <w:sz w:val="32"/>
          <w:szCs w:val="32"/>
        </w:rPr>
        <w:t xml:space="preserve">5. 결과</w:t>
      </w:r>
    </w:p>
    <w:p>
      <w:pPr>
        <w:pStyle w:val="Heading2"/>
        <w:spacing w:before="280" w:after="120" w:line="340"/>
      </w:pPr>
      <w:r>
        <w:rPr>
          <w:rFonts w:ascii="Noto Serif KR" w:cs="Noto Serif KR" w:eastAsia="Noto Serif KR" w:hAnsi="Noto Serif KR"/>
          <w:b/>
          <w:bCs/>
          <w:color w:val="003087"/>
          <w:sz w:val="26"/>
          <w:szCs w:val="26"/>
        </w:rPr>
        <w:t xml:space="preserve">5.1 PDV + OpenHash 증거 검증 결과</w:t>
      </w:r>
    </w:p>
    <w:p>
      <w:pPr>
        <w:spacing w:before="60" w:after="60" w:line="340"/>
        <w:jc w:val="both"/>
      </w:pPr>
      <w:r>
        <w:rPr>
          <w:rFonts w:ascii="Noto Serif KR" w:cs="Noto Serif KR" w:eastAsia="Noto Serif KR" w:hAnsi="Noto Serif KR"/>
          <w:color w:val="1A1A2E"/>
          <w:sz w:val="20"/>
          <w:szCs w:val="20"/>
        </w:rPr>
        <w:t xml:space="preserve">원고 측 12개 항목, 피고 측 12개 항목, 총 24개 증거 항목 전부의 무결성이 확인되었다(평균 검증 시간: 항목당 4.2ms).</w:t>
      </w:r>
    </w:p>
    <w:p>
      <w:pPr>
        <w:spacing w:before="60" w:after="60"/>
      </w:pPr>
      <w:r>
        <w:t xml:space="preserve"/>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피고의 "관리비완납서": 갱신 전 관리비 완납을 결정적으로 입증. 이 기록이 OpenHash에 등록되어 있었다면 피고의 "관리비 체납" 주장은 소송 초기에 배척되었을 것이다.</w:t>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피고의 퇴거 압박 소통 기록: 파산선고(2022. 상반기) 이전인 2022년 5월부터 퇴거 요구가 시작됨이 타임스탬프로 확인. 1심의 "자발적 퇴거" 인정을 반박하는 결정적 증거이다.</w:t>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논쟁 진행 중 증거 무결성에 관한 분쟁: 0건 (확인되지 않은 주장은 자동 배제, 논쟁이 법리 논쟁에 집중됨)</w:t>
      </w:r>
    </w:p>
    <w:p>
      <w:pPr>
        <w:pStyle w:val="Heading2"/>
        <w:spacing w:before="280" w:after="120" w:line="340"/>
      </w:pPr>
      <w:r>
        <w:rPr>
          <w:rFonts w:ascii="Noto Serif KR" w:cs="Noto Serif KR" w:eastAsia="Noto Serif KR" w:hAnsi="Noto Serif KR"/>
          <w:b/>
          <w:bCs/>
          <w:color w:val="003087"/>
          <w:sz w:val="26"/>
          <w:szCs w:val="26"/>
        </w:rPr>
        <w:t xml:space="preserve">5.2 논쟁 관리 엔진 분석 결과</w:t>
      </w:r>
    </w:p>
    <w:p>
      <w:pPr>
        <w:spacing w:before="60" w:after="60" w:line="340"/>
        <w:jc w:val="both"/>
      </w:pPr>
      <w:r>
        <w:rPr>
          <w:rFonts w:ascii="Noto Serif KR" w:cs="Noto Serif KR" w:eastAsia="Noto Serif KR" w:hAnsi="Noto Serif KR"/>
          <w:color w:val="1A1A2E"/>
          <w:sz w:val="20"/>
          <w:szCs w:val="20"/>
        </w:rPr>
        <w:t xml:space="preserve">대변자 간 26회 교환 처리 결과 / 합의 가능성 점수(APS): 0.11 → 판정 패널 이관. 종료 트리거 발동: 반복 4회, 규범역전 5회, 인도적 한계 1회.</w:t>
      </w:r>
    </w:p>
    <w:p>
      <w:pPr>
        <w:spacing w:before="60" w:after="60"/>
      </w:pPr>
      <w:r>
        <w:t xml:space="preserve"/>
      </w:r>
    </w:p>
    <w:p>
      <w:pPr>
        <w:spacing w:before="60" w:after="60" w:line="340"/>
        <w:jc w:val="both"/>
      </w:pPr>
      <w:r>
        <w:rPr>
          <w:rFonts w:ascii="Noto Serif KR" w:cs="Noto Serif KR" w:eastAsia="Noto Serif KR" w:hAnsi="Noto Serif KR"/>
          <w:color w:val="1A1A2E"/>
          <w:sz w:val="20"/>
          <w:szCs w:val="20"/>
        </w:rPr>
        <w:t xml:space="preserve">합의된 주요 사실: 법원의 면제재산 결정 사실, 피고의 파산선고 전 퇴거 요구 시작, 원고의 면책결정 확정(파산선고일 소급 효력), 피고의 공기업 지위, 원고의 폐가 거주 및 정신과 치료 사실.</w:t>
      </w:r>
    </w:p>
    <w:p>
      <w:pPr>
        <w:spacing w:before="60" w:after="60"/>
      </w:pPr>
      <w:r>
        <w:t xml:space="preserve"/>
      </w:r>
    </w:p>
    <w:p>
      <w:pPr>
        <w:spacing w:before="60" w:after="60" w:line="340"/>
        <w:jc w:val="both"/>
      </w:pPr>
      <w:r>
        <w:rPr>
          <w:rFonts w:ascii="Noto Serif KR" w:cs="Noto Serif KR" w:eastAsia="Noto Serif KR" w:hAnsi="Noto Serif KR"/>
          <w:color w:val="1A1A2E"/>
          <w:sz w:val="20"/>
          <w:szCs w:val="20"/>
        </w:rPr>
        <w:t xml:space="preserve">미합의 쟁점(판정 패널 이관): ① "상계권보다 강한 공제권" 개념 존재 여부 ② 면책결정 전 공제 행위의 효력 ③ 피고의 고의적 불법행위 성립 여부 ④ 소비자기본법상 징벌적 손해배상(3배) 적용 여부</w:t>
      </w:r>
    </w:p>
    <w:p>
      <w:pPr>
        <w:pStyle w:val="Heading2"/>
        <w:spacing w:before="280" w:after="120" w:line="340"/>
      </w:pPr>
      <w:r>
        <w:rPr>
          <w:rFonts w:ascii="Noto Serif KR" w:cs="Noto Serif KR" w:eastAsia="Noto Serif KR" w:hAnsi="Noto Serif KR"/>
          <w:b/>
          <w:bCs/>
          <w:color w:val="003087"/>
          <w:sz w:val="26"/>
          <w:szCs w:val="26"/>
        </w:rPr>
        <w:t xml:space="preserve">5.3 판정 패널 판결 요지</w:t>
      </w:r>
    </w:p>
    <w:p>
      <w:pPr>
        <w:pStyle w:val="ListParagraph"/>
        <w:numPr>
          <w:ilvl w:val="0"/>
          <w:numId w:val="3"/>
        </w:numPr>
        <w:spacing w:before="40" w:after="40" w:line="320"/>
      </w:pPr>
      <w:r>
        <w:rPr>
          <w:rFonts w:ascii="Noto Serif KR" w:cs="Noto Serif KR" w:eastAsia="Noto Serif KR" w:hAnsi="Noto Serif KR"/>
          <w:color w:val="1A1A2E"/>
          <w:sz w:val="20"/>
          <w:szCs w:val="20"/>
        </w:rPr>
        <w:t xml:space="preserve">피고의 면제재산 공제는 채무자회생법 제383조·제424조 위반으로 위법.</w:t>
      </w:r>
    </w:p>
    <w:p>
      <w:pPr>
        <w:pStyle w:val="ListParagraph"/>
        <w:numPr>
          <w:ilvl w:val="0"/>
          <w:numId w:val="3"/>
        </w:numPr>
        <w:spacing w:before="40" w:after="40" w:line="320"/>
      </w:pPr>
      <w:r>
        <w:rPr>
          <w:rFonts w:ascii="Noto Serif KR" w:cs="Noto Serif KR" w:eastAsia="Noto Serif KR" w:hAnsi="Noto Serif KR"/>
          <w:color w:val="1A1A2E"/>
          <w:sz w:val="20"/>
          <w:szCs w:val="20"/>
        </w:rPr>
        <w:t xml:space="preserve">민법 제481조의 변제할 정당한 이익이 없는 항목의 대위변제는 법적 근거 없음; 이에 기한 구상권 행사도 성립하지 아니함.</w:t>
      </w:r>
    </w:p>
    <w:p>
      <w:pPr>
        <w:pStyle w:val="ListParagraph"/>
        <w:numPr>
          <w:ilvl w:val="0"/>
          <w:numId w:val="3"/>
        </w:numPr>
        <w:spacing w:before="40" w:after="40" w:line="320"/>
      </w:pPr>
      <w:r>
        <w:rPr>
          <w:rFonts w:ascii="Noto Serif KR" w:cs="Noto Serif KR" w:eastAsia="Noto Serif KR" w:hAnsi="Noto Serif KR"/>
          <w:color w:val="1A1A2E"/>
          <w:sz w:val="20"/>
          <w:szCs w:val="20"/>
        </w:rPr>
        <w:t xml:space="preserve">채무자회생법 제417조의 "장래의 청구권" 규정을 임대차보증금 당연공제에 유추 적용하기 위한 법률상 명시적 근거가 없음.</w:t>
      </w:r>
    </w:p>
    <w:p>
      <w:pPr>
        <w:pStyle w:val="ListParagraph"/>
        <w:numPr>
          <w:ilvl w:val="0"/>
          <w:numId w:val="3"/>
        </w:numPr>
        <w:spacing w:before="40" w:after="40" w:line="320"/>
      </w:pPr>
      <w:r>
        <w:rPr>
          <w:rFonts w:ascii="Noto Serif KR" w:cs="Noto Serif KR" w:eastAsia="Noto Serif KR" w:hAnsi="Noto Serif KR"/>
          <w:color w:val="1A1A2E"/>
          <w:sz w:val="20"/>
          <w:szCs w:val="20"/>
        </w:rPr>
        <w:t xml:space="preserve">"상계권보다 강한 담보적 효력을 가지는 공제권"은 어떠한 실정 법률에도 근거가 없는 개념; 파산채권 개별행사금지 원칙 우회 불허.</w:t>
      </w:r>
    </w:p>
    <w:p>
      <w:pPr>
        <w:pStyle w:val="ListParagraph"/>
        <w:numPr>
          <w:ilvl w:val="0"/>
          <w:numId w:val="3"/>
        </w:numPr>
        <w:spacing w:before="40" w:after="40" w:line="320"/>
      </w:pPr>
      <w:r>
        <w:rPr>
          <w:rFonts w:ascii="Noto Serif KR" w:cs="Noto Serif KR" w:eastAsia="Noto Serif KR" w:hAnsi="Noto Serif KR"/>
          <w:color w:val="1A1A2E"/>
          <w:sz w:val="20"/>
          <w:szCs w:val="20"/>
        </w:rPr>
        <w:t xml:space="preserve">피고는 원고의 명시적 경고와 파산관재인의 공식 확인에도 불구하고 면제재산을 임의 처분하였으며, 이는 불법행위를 구성함. 주거복지를 목적으로 설립된 공기업의 행위는 한국토지주택공사법 제1조에 반함.</w:t>
      </w:r>
    </w:p>
    <w:p>
      <w:pPr>
        <w:pStyle w:val="ListParagraph"/>
        <w:numPr>
          <w:ilvl w:val="0"/>
          <w:numId w:val="3"/>
        </w:numPr>
        <w:spacing w:before="40" w:after="40" w:line="320"/>
      </w:pPr>
      <w:r>
        <w:rPr>
          <w:rFonts w:ascii="Noto Serif KR" w:cs="Noto Serif KR" w:eastAsia="Noto Serif KR" w:hAnsi="Noto Serif KR"/>
          <w:color w:val="1A1A2E"/>
          <w:sz w:val="20"/>
          <w:szCs w:val="20"/>
        </w:rPr>
        <w:t xml:space="preserve">피고는 원고에게 법적 근거 없이 공제한 금액 및 손해를 배상할 의무 있음.</w:t>
      </w:r>
    </w:p>
    <w:p>
      <w:pPr>
        <w:spacing w:before="60" w:after="60"/>
      </w:pPr>
      <w:r>
        <w:t xml:space="preserve"/>
      </w:r>
    </w:p>
    <w:p>
      <w:pPr>
        <w:pBdr>
          <w:left w:val="single" w:color="C9A000" w:sz="12" w:space="8"/>
        </w:pBdr>
        <w:shd w:fill="FFF8E1" w:val="clear"/>
        <w:spacing w:before="80" w:after="80" w:line="320"/>
        <w:ind w:left="400" w:right="400"/>
        <w:jc w:val="both"/>
      </w:pPr>
      <w:r>
        <w:rPr>
          <w:rFonts w:ascii="Noto Serif KR" w:cs="Noto Serif KR" w:eastAsia="Noto Serif KR" w:hAnsi="Noto Serif KR"/>
          <w:color w:val="6B4C00"/>
          <w:sz w:val="18"/>
          <w:szCs w:val="18"/>
        </w:rPr>
        <w:t xml:space="preserve">※ 징벌적 손해배상 및 문서 위변조 주장: 인간 판사 회부 조건 발동.</w:t>
      </w:r>
    </w:p>
    <w:p>
      <w:pPr>
        <w:pStyle w:val="Heading2"/>
        <w:spacing w:before="280" w:after="120" w:line="340"/>
      </w:pPr>
      <w:r>
        <w:rPr>
          <w:rFonts w:ascii="Noto Serif KR" w:cs="Noto Serif KR" w:eastAsia="Noto Serif KR" w:hAnsi="Noto Serif KR"/>
          <w:b/>
          <w:bCs/>
          <w:color w:val="003087"/>
          <w:sz w:val="26"/>
          <w:szCs w:val="26"/>
        </w:rPr>
        <w:t xml:space="preserve">5.4 정량 평가 결과</w:t>
      </w:r>
    </w:p>
    <w:p>
      <w:pPr>
        <w:spacing w:before="60" w:after="60"/>
      </w:pPr>
      <w:r>
        <w:t xml:space="preserve"/>
      </w:r>
    </w:p>
    <w:tbl>
      <w:tblPr>
        <w:tblW w:type="dxa" w:w="7620"/>
        <w:tblBorders>
          <w:top w:val="single" w:color="auto" w:sz="4"/>
          <w:left w:val="single" w:color="auto" w:sz="4"/>
          <w:bottom w:val="single" w:color="auto" w:sz="4"/>
          <w:right w:val="single" w:color="auto" w:sz="4"/>
          <w:insideH w:val="single" w:color="auto" w:sz="4"/>
          <w:insideV w:val="single" w:color="auto" w:sz="4"/>
        </w:tblBorders>
      </w:tblPr>
      <w:tblGrid>
        <w:gridCol w:w="2200"/>
        <w:gridCol w:w="1720"/>
        <w:gridCol w:w="1720"/>
        <w:gridCol w:w="1980"/>
      </w:tblGrid>
      <w:tr>
        <w:tc>
          <w:tcPr>
            <w:tcW w:type="dxa" w:w="2200"/>
            <w:tcBorders>
              <w:top w:val="single" w:color="FFFFFF" w:sz="1"/>
              <w:left w:val="single" w:color="FFFFFF" w:sz="1"/>
              <w:bottom w:val="single" w:color="FFFFFF" w:sz="1"/>
              <w:right w:val="single" w:color="FFFFFF" w:sz="1"/>
            </w:tcBorders>
            <w:shd w:fill="003087" w:val="clear"/>
            <w:tcMar>
              <w:top w:type="dxa" w:w="80"/>
              <w:left w:type="dxa" w:w="120"/>
              <w:bottom w:type="dxa" w:w="80"/>
              <w:right w:type="dxa" w:w="120"/>
            </w:tcMar>
          </w:tcPr>
          <w:p>
            <w:pPr>
              <w:jc w:val="center"/>
            </w:pPr>
            <w:r>
              <w:rPr>
                <w:rFonts w:ascii="Noto Serif KR" w:cs="Noto Serif KR" w:eastAsia="Noto Serif KR" w:hAnsi="Noto Serif KR"/>
                <w:b/>
                <w:bCs/>
                <w:color w:val="FFFFFF"/>
                <w:sz w:val="19"/>
                <w:szCs w:val="19"/>
              </w:rPr>
              <w:t xml:space="preserve">평가 차원</w:t>
            </w:r>
          </w:p>
        </w:tc>
        <w:tc>
          <w:tcPr>
            <w:tcW w:type="dxa" w:w="1720"/>
            <w:tcBorders>
              <w:top w:val="single" w:color="FFFFFF" w:sz="1"/>
              <w:left w:val="single" w:color="FFFFFF" w:sz="1"/>
              <w:bottom w:val="single" w:color="FFFFFF" w:sz="1"/>
              <w:right w:val="single" w:color="FFFFFF" w:sz="1"/>
            </w:tcBorders>
            <w:shd w:fill="003087" w:val="clear"/>
            <w:tcMar>
              <w:top w:type="dxa" w:w="80"/>
              <w:left w:type="dxa" w:w="120"/>
              <w:bottom w:type="dxa" w:w="80"/>
              <w:right w:type="dxa" w:w="120"/>
            </w:tcMar>
          </w:tcPr>
          <w:p>
            <w:pPr>
              <w:jc w:val="center"/>
            </w:pPr>
            <w:r>
              <w:rPr>
                <w:rFonts w:ascii="Noto Serif KR" w:cs="Noto Serif KR" w:eastAsia="Noto Serif KR" w:hAnsi="Noto Serif KR"/>
                <w:b/>
                <w:bCs/>
                <w:color w:val="FFFFFF"/>
                <w:sz w:val="19"/>
                <w:szCs w:val="19"/>
              </w:rPr>
              <w:t xml:space="preserve">1심 (/100)</w:t>
            </w:r>
          </w:p>
        </w:tc>
        <w:tc>
          <w:tcPr>
            <w:tcW w:type="dxa" w:w="1720"/>
            <w:tcBorders>
              <w:top w:val="single" w:color="FFFFFF" w:sz="1"/>
              <w:left w:val="single" w:color="FFFFFF" w:sz="1"/>
              <w:bottom w:val="single" w:color="FFFFFF" w:sz="1"/>
              <w:right w:val="single" w:color="FFFFFF" w:sz="1"/>
            </w:tcBorders>
            <w:shd w:fill="003087" w:val="clear"/>
            <w:tcMar>
              <w:top w:type="dxa" w:w="80"/>
              <w:left w:type="dxa" w:w="120"/>
              <w:bottom w:type="dxa" w:w="80"/>
              <w:right w:type="dxa" w:w="120"/>
            </w:tcMar>
          </w:tcPr>
          <w:p>
            <w:pPr>
              <w:jc w:val="center"/>
            </w:pPr>
            <w:r>
              <w:rPr>
                <w:rFonts w:ascii="Noto Serif KR" w:cs="Noto Serif KR" w:eastAsia="Noto Serif KR" w:hAnsi="Noto Serif KR"/>
                <w:b/>
                <w:bCs/>
                <w:color w:val="FFFFFF"/>
                <w:sz w:val="19"/>
                <w:szCs w:val="19"/>
              </w:rPr>
              <w:t xml:space="preserve">2심 (/100)</w:t>
            </w:r>
          </w:p>
        </w:tc>
        <w:tc>
          <w:tcPr>
            <w:tcW w:type="dxa" w:w="1980"/>
            <w:tcBorders>
              <w:top w:val="single" w:color="FFFFFF" w:sz="1"/>
              <w:left w:val="single" w:color="FFFFFF" w:sz="1"/>
              <w:bottom w:val="single" w:color="FFFFFF" w:sz="1"/>
              <w:right w:val="single" w:color="FFFFFF" w:sz="1"/>
            </w:tcBorders>
            <w:shd w:fill="003087" w:val="clear"/>
            <w:tcMar>
              <w:top w:type="dxa" w:w="80"/>
              <w:left w:type="dxa" w:w="120"/>
              <w:bottom w:type="dxa" w:w="80"/>
              <w:right w:type="dxa" w:w="120"/>
            </w:tcMar>
          </w:tcPr>
          <w:p>
            <w:pPr>
              <w:jc w:val="center"/>
            </w:pPr>
            <w:r>
              <w:rPr>
                <w:rFonts w:ascii="Noto Serif KR" w:cs="Noto Serif KR" w:eastAsia="Noto Serif KR" w:hAnsi="Noto Serif KR"/>
                <w:b/>
                <w:bCs/>
                <w:color w:val="FFFFFF"/>
                <w:sz w:val="19"/>
                <w:szCs w:val="19"/>
              </w:rPr>
              <w:t xml:space="preserve">K-OpenLaw (/100)</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Noto Serif KR" w:cs="Noto Serif KR" w:eastAsia="Noto Serif KR" w:hAnsi="Noto Serif KR"/>
                <w:b w:val="false"/>
                <w:bCs w:val="false"/>
                <w:color w:val="1A1A2E"/>
                <w:sz w:val="19"/>
                <w:szCs w:val="19"/>
              </w:rPr>
              <w:t xml:space="preserve">I. 공정성</w:t>
            </w:r>
          </w:p>
        </w:tc>
        <w:tc>
          <w:tcPr>
            <w:tcW w:type="dxa" w:w="17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Noto Serif KR" w:cs="Noto Serif KR" w:eastAsia="Noto Serif KR" w:hAnsi="Noto Serif KR"/>
                <w:b w:val="false"/>
                <w:bCs w:val="false"/>
                <w:color w:val="1A1A2E"/>
                <w:sz w:val="19"/>
                <w:szCs w:val="19"/>
              </w:rPr>
              <w:t xml:space="preserve">40</w:t>
            </w:r>
          </w:p>
        </w:tc>
        <w:tc>
          <w:tcPr>
            <w:tcW w:type="dxa" w:w="17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Noto Serif KR" w:cs="Noto Serif KR" w:eastAsia="Noto Serif KR" w:hAnsi="Noto Serif KR"/>
                <w:b w:val="false"/>
                <w:bCs w:val="false"/>
                <w:color w:val="1A1A2E"/>
                <w:sz w:val="19"/>
                <w:szCs w:val="19"/>
              </w:rPr>
              <w:t xml:space="preserve">36</w:t>
            </w:r>
          </w:p>
        </w:tc>
        <w:tc>
          <w:tcPr>
            <w:tcW w:type="dxa" w:w="1980"/>
            <w:tcBorders>
              <w:top w:val="single" w:color="CCCCCC" w:sz="1"/>
              <w:left w:val="single" w:color="CCCCCC" w:sz="1"/>
              <w:bottom w:val="single" w:color="CCCCCC" w:sz="1"/>
              <w:right w:val="single" w:color="CCCCCC" w:sz="1"/>
            </w:tcBorders>
            <w:shd w:fill="E8F5EE" w:val="clear"/>
            <w:tcMar>
              <w:top w:type="dxa" w:w="60"/>
              <w:left w:type="dxa" w:w="120"/>
              <w:bottom w:type="dxa" w:w="60"/>
              <w:right w:type="dxa" w:w="120"/>
            </w:tcMar>
          </w:tcPr>
          <w:p>
            <w:pPr>
              <w:jc w:val="center"/>
            </w:pPr>
            <w:r>
              <w:rPr>
                <w:rFonts w:ascii="Noto Serif KR" w:cs="Noto Serif KR" w:eastAsia="Noto Serif KR" w:hAnsi="Noto Serif KR"/>
                <w:b w:val="false"/>
                <w:bCs w:val="false"/>
                <w:color w:val="0D6E3F"/>
                <w:sz w:val="19"/>
                <w:szCs w:val="19"/>
              </w:rPr>
              <w:t xml:space="preserve">94</w:t>
            </w:r>
          </w:p>
        </w:tc>
      </w:tr>
      <w:tr>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jc w:val="left"/>
            </w:pPr>
            <w:r>
              <w:rPr>
                <w:rFonts w:ascii="Noto Serif KR" w:cs="Noto Serif KR" w:eastAsia="Noto Serif KR" w:hAnsi="Noto Serif KR"/>
                <w:b w:val="false"/>
                <w:bCs w:val="false"/>
                <w:color w:val="1A1A2E"/>
                <w:sz w:val="19"/>
                <w:szCs w:val="19"/>
              </w:rPr>
              <w:t xml:space="preserve">II. 객관성</w:t>
            </w:r>
          </w:p>
        </w:tc>
        <w:tc>
          <w:tcPr>
            <w:tcW w:type="dxa" w:w="172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jc w:val="center"/>
            </w:pPr>
            <w:r>
              <w:rPr>
                <w:rFonts w:ascii="Noto Serif KR" w:cs="Noto Serif KR" w:eastAsia="Noto Serif KR" w:hAnsi="Noto Serif KR"/>
                <w:b w:val="false"/>
                <w:bCs w:val="false"/>
                <w:color w:val="1A1A2E"/>
                <w:sz w:val="19"/>
                <w:szCs w:val="19"/>
              </w:rPr>
              <w:t xml:space="preserve">45</w:t>
            </w:r>
          </w:p>
        </w:tc>
        <w:tc>
          <w:tcPr>
            <w:tcW w:type="dxa" w:w="172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jc w:val="center"/>
            </w:pPr>
            <w:r>
              <w:rPr>
                <w:rFonts w:ascii="Noto Serif KR" w:cs="Noto Serif KR" w:eastAsia="Noto Serif KR" w:hAnsi="Noto Serif KR"/>
                <w:b w:val="false"/>
                <w:bCs w:val="false"/>
                <w:color w:val="1A1A2E"/>
                <w:sz w:val="19"/>
                <w:szCs w:val="19"/>
              </w:rPr>
              <w:t xml:space="preserve">35</w:t>
            </w:r>
          </w:p>
        </w:tc>
        <w:tc>
          <w:tcPr>
            <w:tcW w:type="dxa" w:w="198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jc w:val="center"/>
            </w:pPr>
            <w:r>
              <w:rPr>
                <w:rFonts w:ascii="Noto Serif KR" w:cs="Noto Serif KR" w:eastAsia="Noto Serif KR" w:hAnsi="Noto Serif KR"/>
                <w:b w:val="false"/>
                <w:bCs w:val="false"/>
                <w:color w:val="0D6E3F"/>
                <w:sz w:val="19"/>
                <w:szCs w:val="19"/>
              </w:rPr>
              <w:t xml:space="preserve">90</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Noto Serif KR" w:cs="Noto Serif KR" w:eastAsia="Noto Serif KR" w:hAnsi="Noto Serif KR"/>
                <w:b w:val="false"/>
                <w:bCs w:val="false"/>
                <w:color w:val="1A1A2E"/>
                <w:sz w:val="19"/>
                <w:szCs w:val="19"/>
              </w:rPr>
              <w:t xml:space="preserve">III. 합리성</w:t>
            </w:r>
          </w:p>
        </w:tc>
        <w:tc>
          <w:tcPr>
            <w:tcW w:type="dxa" w:w="17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Noto Serif KR" w:cs="Noto Serif KR" w:eastAsia="Noto Serif KR" w:hAnsi="Noto Serif KR"/>
                <w:b w:val="false"/>
                <w:bCs w:val="false"/>
                <w:color w:val="1A1A2E"/>
                <w:sz w:val="19"/>
                <w:szCs w:val="19"/>
              </w:rPr>
              <w:t xml:space="preserve">45</w:t>
            </w:r>
          </w:p>
        </w:tc>
        <w:tc>
          <w:tcPr>
            <w:tcW w:type="dxa" w:w="17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Noto Serif KR" w:cs="Noto Serif KR" w:eastAsia="Noto Serif KR" w:hAnsi="Noto Serif KR"/>
                <w:b w:val="false"/>
                <w:bCs w:val="false"/>
                <w:color w:val="1A1A2E"/>
                <w:sz w:val="19"/>
                <w:szCs w:val="19"/>
              </w:rPr>
              <w:t xml:space="preserve">38</w:t>
            </w:r>
          </w:p>
        </w:tc>
        <w:tc>
          <w:tcPr>
            <w:tcW w:type="dxa" w:w="1980"/>
            <w:tcBorders>
              <w:top w:val="single" w:color="CCCCCC" w:sz="1"/>
              <w:left w:val="single" w:color="CCCCCC" w:sz="1"/>
              <w:bottom w:val="single" w:color="CCCCCC" w:sz="1"/>
              <w:right w:val="single" w:color="CCCCCC" w:sz="1"/>
            </w:tcBorders>
            <w:shd w:fill="E8F5EE" w:val="clear"/>
            <w:tcMar>
              <w:top w:type="dxa" w:w="60"/>
              <w:left w:type="dxa" w:w="120"/>
              <w:bottom w:type="dxa" w:w="60"/>
              <w:right w:type="dxa" w:w="120"/>
            </w:tcMar>
          </w:tcPr>
          <w:p>
            <w:pPr>
              <w:jc w:val="center"/>
            </w:pPr>
            <w:r>
              <w:rPr>
                <w:rFonts w:ascii="Noto Serif KR" w:cs="Noto Serif KR" w:eastAsia="Noto Serif KR" w:hAnsi="Noto Serif KR"/>
                <w:b w:val="false"/>
                <w:bCs w:val="false"/>
                <w:color w:val="0D6E3F"/>
                <w:sz w:val="19"/>
                <w:szCs w:val="19"/>
              </w:rPr>
              <w:t xml:space="preserve">92</w:t>
            </w:r>
          </w:p>
        </w:tc>
      </w:tr>
      <w:tr>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jc w:val="left"/>
            </w:pPr>
            <w:r>
              <w:rPr>
                <w:rFonts w:ascii="Noto Serif KR" w:cs="Noto Serif KR" w:eastAsia="Noto Serif KR" w:hAnsi="Noto Serif KR"/>
                <w:b w:val="false"/>
                <w:bCs w:val="false"/>
                <w:color w:val="1A1A2E"/>
                <w:sz w:val="19"/>
                <w:szCs w:val="19"/>
              </w:rPr>
              <w:t xml:space="preserve">IV. 사실정확성</w:t>
            </w:r>
          </w:p>
        </w:tc>
        <w:tc>
          <w:tcPr>
            <w:tcW w:type="dxa" w:w="172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jc w:val="center"/>
            </w:pPr>
            <w:r>
              <w:rPr>
                <w:rFonts w:ascii="Noto Serif KR" w:cs="Noto Serif KR" w:eastAsia="Noto Serif KR" w:hAnsi="Noto Serif KR"/>
                <w:b w:val="false"/>
                <w:bCs w:val="false"/>
                <w:color w:val="1A1A2E"/>
                <w:sz w:val="19"/>
                <w:szCs w:val="19"/>
              </w:rPr>
              <w:t xml:space="preserve">48</w:t>
            </w:r>
          </w:p>
        </w:tc>
        <w:tc>
          <w:tcPr>
            <w:tcW w:type="dxa" w:w="172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jc w:val="center"/>
            </w:pPr>
            <w:r>
              <w:rPr>
                <w:rFonts w:ascii="Noto Serif KR" w:cs="Noto Serif KR" w:eastAsia="Noto Serif KR" w:hAnsi="Noto Serif KR"/>
                <w:b w:val="false"/>
                <w:bCs w:val="false"/>
                <w:color w:val="1A1A2E"/>
                <w:sz w:val="19"/>
                <w:szCs w:val="19"/>
              </w:rPr>
              <w:t xml:space="preserve">45</w:t>
            </w:r>
          </w:p>
        </w:tc>
        <w:tc>
          <w:tcPr>
            <w:tcW w:type="dxa" w:w="198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jc w:val="center"/>
            </w:pPr>
            <w:r>
              <w:rPr>
                <w:rFonts w:ascii="Noto Serif KR" w:cs="Noto Serif KR" w:eastAsia="Noto Serif KR" w:hAnsi="Noto Serif KR"/>
                <w:b w:val="false"/>
                <w:bCs w:val="false"/>
                <w:color w:val="0D6E3F"/>
                <w:sz w:val="19"/>
                <w:szCs w:val="19"/>
              </w:rPr>
              <w:t xml:space="preserve">91</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Noto Serif KR" w:cs="Noto Serif KR" w:eastAsia="Noto Serif KR" w:hAnsi="Noto Serif KR"/>
                <w:b w:val="false"/>
                <w:bCs w:val="false"/>
                <w:color w:val="1A1A2E"/>
                <w:sz w:val="19"/>
                <w:szCs w:val="19"/>
              </w:rPr>
              <w:t xml:space="preserve">V. 법적정당성</w:t>
            </w:r>
          </w:p>
        </w:tc>
        <w:tc>
          <w:tcPr>
            <w:tcW w:type="dxa" w:w="17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Noto Serif KR" w:cs="Noto Serif KR" w:eastAsia="Noto Serif KR" w:hAnsi="Noto Serif KR"/>
                <w:b w:val="false"/>
                <w:bCs w:val="false"/>
                <w:color w:val="1A1A2E"/>
                <w:sz w:val="19"/>
                <w:szCs w:val="19"/>
              </w:rPr>
              <w:t xml:space="preserve">28</w:t>
            </w:r>
          </w:p>
        </w:tc>
        <w:tc>
          <w:tcPr>
            <w:tcW w:type="dxa" w:w="17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Noto Serif KR" w:cs="Noto Serif KR" w:eastAsia="Noto Serif KR" w:hAnsi="Noto Serif KR"/>
                <w:b w:val="false"/>
                <w:bCs w:val="false"/>
                <w:color w:val="1A1A2E"/>
                <w:sz w:val="19"/>
                <w:szCs w:val="19"/>
              </w:rPr>
              <w:t xml:space="preserve">20</w:t>
            </w:r>
          </w:p>
        </w:tc>
        <w:tc>
          <w:tcPr>
            <w:tcW w:type="dxa" w:w="1980"/>
            <w:tcBorders>
              <w:top w:val="single" w:color="CCCCCC" w:sz="1"/>
              <w:left w:val="single" w:color="CCCCCC" w:sz="1"/>
              <w:bottom w:val="single" w:color="CCCCCC" w:sz="1"/>
              <w:right w:val="single" w:color="CCCCCC" w:sz="1"/>
            </w:tcBorders>
            <w:shd w:fill="E8F5EE" w:val="clear"/>
            <w:tcMar>
              <w:top w:type="dxa" w:w="60"/>
              <w:left w:type="dxa" w:w="120"/>
              <w:bottom w:type="dxa" w:w="60"/>
              <w:right w:type="dxa" w:w="120"/>
            </w:tcMar>
          </w:tcPr>
          <w:p>
            <w:pPr>
              <w:jc w:val="center"/>
            </w:pPr>
            <w:r>
              <w:rPr>
                <w:rFonts w:ascii="Noto Serif KR" w:cs="Noto Serif KR" w:eastAsia="Noto Serif KR" w:hAnsi="Noto Serif KR"/>
                <w:b w:val="false"/>
                <w:bCs w:val="false"/>
                <w:color w:val="0D6E3F"/>
                <w:sz w:val="19"/>
                <w:szCs w:val="19"/>
              </w:rPr>
              <w:t xml:space="preserve">93</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Noto Serif KR" w:cs="Noto Serif KR" w:eastAsia="Noto Serif KR" w:hAnsi="Noto Serif KR"/>
                <w:b/>
                <w:bCs/>
                <w:color w:val="001f5b"/>
                <w:sz w:val="19"/>
                <w:szCs w:val="19"/>
              </w:rPr>
              <w:t xml:space="preserve">종합 평균</w:t>
            </w:r>
          </w:p>
        </w:tc>
        <w:tc>
          <w:tcPr>
            <w:tcW w:type="dxa" w:w="17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Noto Serif KR" w:cs="Noto Serif KR" w:eastAsia="Noto Serif KR" w:hAnsi="Noto Serif KR"/>
                <w:b/>
                <w:bCs/>
                <w:color w:val="001f5b"/>
                <w:sz w:val="19"/>
                <w:szCs w:val="19"/>
              </w:rPr>
              <w:t xml:space="preserve">41 (F)</w:t>
            </w:r>
          </w:p>
        </w:tc>
        <w:tc>
          <w:tcPr>
            <w:tcW w:type="dxa" w:w="17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Noto Serif KR" w:cs="Noto Serif KR" w:eastAsia="Noto Serif KR" w:hAnsi="Noto Serif KR"/>
                <w:b/>
                <w:bCs/>
                <w:color w:val="001f5b"/>
                <w:sz w:val="19"/>
                <w:szCs w:val="19"/>
              </w:rPr>
              <w:t xml:space="preserve">35 (F)</w:t>
            </w:r>
          </w:p>
        </w:tc>
        <w:tc>
          <w:tcPr>
            <w:tcW w:type="dxa" w:w="1980"/>
            <w:tcBorders>
              <w:top w:val="single" w:color="CCCCCC" w:sz="1"/>
              <w:left w:val="single" w:color="CCCCCC" w:sz="1"/>
              <w:bottom w:val="single" w:color="CCCCCC" w:sz="1"/>
              <w:right w:val="single" w:color="CCCCCC" w:sz="1"/>
            </w:tcBorders>
            <w:shd w:fill="E8F5EE" w:val="clear"/>
            <w:tcMar>
              <w:top w:type="dxa" w:w="60"/>
              <w:left w:type="dxa" w:w="120"/>
              <w:bottom w:type="dxa" w:w="60"/>
              <w:right w:type="dxa" w:w="120"/>
            </w:tcMar>
          </w:tcPr>
          <w:p>
            <w:pPr>
              <w:jc w:val="center"/>
            </w:pPr>
            <w:r>
              <w:rPr>
                <w:rFonts w:ascii="Noto Serif KR" w:cs="Noto Serif KR" w:eastAsia="Noto Serif KR" w:hAnsi="Noto Serif KR"/>
                <w:b/>
                <w:bCs/>
                <w:color w:val="0D6E3F"/>
                <w:sz w:val="19"/>
                <w:szCs w:val="19"/>
              </w:rPr>
              <w:t xml:space="preserve">92 (A)</w:t>
            </w:r>
          </w:p>
        </w:tc>
      </w:tr>
    </w:tbl>
    <w:p>
      <w:pPr>
        <w:spacing w:before="60" w:after="60"/>
      </w:pPr>
      <w:r>
        <w:t xml:space="preserve"/>
      </w:r>
    </w:p>
    <w:p>
      <w:pPr>
        <w:pStyle w:val="Heading2"/>
        <w:spacing w:before="280" w:after="120" w:line="340"/>
      </w:pPr>
      <w:r>
        <w:rPr>
          <w:rFonts w:ascii="Noto Serif KR" w:cs="Noto Serif KR" w:eastAsia="Noto Serif KR" w:hAnsi="Noto Serif KR"/>
          <w:b/>
          <w:bCs/>
          <w:color w:val="003087"/>
          <w:sz w:val="26"/>
          <w:szCs w:val="26"/>
        </w:rPr>
        <w:t xml:space="preserve">5.5 핵심 발견 사항</w:t>
      </w:r>
    </w:p>
    <w:p>
      <w:pPr>
        <w:pStyle w:val="Heading3"/>
        <w:spacing w:before="200" w:after="80" w:line="340"/>
      </w:pPr>
      <w:r>
        <w:rPr>
          <w:rFonts w:ascii="Noto Serif KR" w:cs="Noto Serif KR" w:eastAsia="Noto Serif KR" w:hAnsi="Noto Serif KR"/>
          <w:b/>
          <w:bCs/>
          <w:color w:val="001f5b"/>
          <w:sz w:val="22"/>
          <w:szCs w:val="22"/>
        </w:rPr>
        <w:t xml:space="preserve">발견 1: 변론주의 위반의 심화 패턴</w:t>
      </w:r>
    </w:p>
    <w:p>
      <w:pPr>
        <w:spacing w:before="60" w:after="60" w:line="340"/>
        <w:jc w:val="both"/>
      </w:pPr>
      <w:r>
        <w:rPr>
          <w:rFonts w:ascii="Noto Serif KR" w:cs="Noto Serif KR" w:eastAsia="Noto Serif KR" w:hAnsi="Noto Serif KR"/>
          <w:color w:val="1A1A2E"/>
          <w:sz w:val="20"/>
          <w:szCs w:val="20"/>
        </w:rPr>
        <w:t xml:space="preserve">1심은 피고가 주장하지 않은 채무자회생법 제416·417·423조, 재단채권론을 재판부가 독자 발굴·적용하여 민사소송법 제203조를 위반하였다. 2심은 1심의 위반을 시정하지 않고 추가 법조항(제423조, 제473조 제8호, 제475조)과 대법원 판례(2015다252501, 2012da113667)까지 독자 발굴하여 변론주의 위반이 1심보다 심화되었다. K-OpenLaw는 논쟁 관리 엔진이 당사자 주장을 실시간 추적하므로 구조적으로 변론주의 위반이 불가능하다.</w:t>
      </w:r>
    </w:p>
    <w:p>
      <w:pPr>
        <w:pStyle w:val="Heading3"/>
        <w:spacing w:before="200" w:after="80" w:line="340"/>
      </w:pPr>
      <w:r>
        <w:rPr>
          <w:rFonts w:ascii="Noto Serif KR" w:cs="Noto Serif KR" w:eastAsia="Noto Serif KR" w:hAnsi="Noto Serif KR"/>
          <w:b/>
          <w:bCs/>
          <w:color w:val="001f5b"/>
          <w:sz w:val="22"/>
          <w:szCs w:val="22"/>
        </w:rPr>
        <w:t xml:space="preserve">발견 2: 항소심의 오류 시정 기능 미작동</w:t>
      </w:r>
    </w:p>
    <w:p>
      <w:pPr>
        <w:spacing w:before="60" w:after="60" w:line="340"/>
        <w:jc w:val="both"/>
      </w:pPr>
      <w:r>
        <w:rPr>
          <w:rFonts w:ascii="Noto Serif KR" w:cs="Noto Serif KR" w:eastAsia="Noto Serif KR" w:hAnsi="Noto Serif KR"/>
          <w:color w:val="1A1A2E"/>
          <w:sz w:val="20"/>
          <w:szCs w:val="20"/>
        </w:rPr>
        <w:t xml:space="preserve">5개 차원 모두 2심이 1심보다 낮은 점수를 기록하였다(종합: 41→35점). 항소심 본연의 1심 오류 시정 기능이 실질적으로 작동하지 않았음을 수치가 보여준다.</w:t>
      </w:r>
    </w:p>
    <w:p>
      <w:pPr>
        <w:pStyle w:val="Heading3"/>
        <w:spacing w:before="200" w:after="80" w:line="340"/>
      </w:pPr>
      <w:r>
        <w:rPr>
          <w:rFonts w:ascii="Noto Serif KR" w:cs="Noto Serif KR" w:eastAsia="Noto Serif KR" w:hAnsi="Noto Serif KR"/>
          <w:b/>
          <w:bCs/>
          <w:color w:val="001f5b"/>
          <w:sz w:val="22"/>
          <w:szCs w:val="22"/>
        </w:rPr>
        <w:t xml:space="preserve">발견 3: 규범 위계 역전</w:t>
      </w:r>
    </w:p>
    <w:p>
      <w:pPr>
        <w:spacing w:before="60" w:after="60" w:line="340"/>
        <w:jc w:val="both"/>
      </w:pPr>
      <w:r>
        <w:rPr>
          <w:rFonts w:ascii="Noto Serif KR" w:cs="Noto Serif KR" w:eastAsia="Noto Serif KR" w:hAnsi="Noto Serif KR"/>
          <w:color w:val="1A1A2E"/>
          <w:sz w:val="20"/>
          <w:szCs w:val="20"/>
        </w:rPr>
        <w:t xml:space="preserve">양 심급 모두 일반 민법 임대차 원칙을 적용하면서 헌법상 주거권(제35조), 인간 존엄(제10조), 생존권(제34조), 파산법상 면제재산 보호(제383조)를 무시하였다. K-OpenLaw는 6단계 규범 위계 데이터베이스로 상위 규범 우선 적용을 구조적으로 강제하였다.</w:t>
      </w:r>
    </w:p>
    <w:p>
      <w:pPr>
        <w:pStyle w:val="Heading3"/>
        <w:spacing w:before="200" w:after="80" w:line="340"/>
      </w:pPr>
      <w:r>
        <w:rPr>
          <w:rFonts w:ascii="Noto Serif KR" w:cs="Noto Serif KR" w:eastAsia="Noto Serif KR" w:hAnsi="Noto Serif KR"/>
          <w:b/>
          <w:bCs/>
          <w:color w:val="001f5b"/>
          <w:sz w:val="22"/>
          <w:szCs w:val="22"/>
        </w:rPr>
        <w:t xml:space="preserve">발견 4: 취약계층 보호 실패</w:t>
      </w:r>
    </w:p>
    <w:p>
      <w:pPr>
        <w:spacing w:before="60" w:after="60" w:line="340"/>
        <w:jc w:val="both"/>
      </w:pPr>
      <w:r>
        <w:rPr>
          <w:rFonts w:ascii="Noto Serif KR" w:cs="Noto Serif KR" w:eastAsia="Noto Serif KR" w:hAnsi="Noto Serif KR"/>
          <w:color w:val="1A1A2E"/>
          <w:sz w:val="20"/>
          <w:szCs w:val="20"/>
        </w:rPr>
        <w:t xml:space="preserve">양 심급 모두 원고의 경제적 취약 지위, 폐가 거주, 정신과 치료에 대한 고려가 전무하였다. K-OpenLaw는 VHI = 0.94를 자동 산출하여 인도적 한계 트리거를 발동, 취약계층 보호 조항 우선 적용을 강제하였다.</w:t>
      </w:r>
    </w:p>
    <w:p>
      <w:pPr>
        <w:pStyle w:val="Heading2"/>
        <w:spacing w:before="280" w:after="120" w:line="340"/>
      </w:pPr>
      <w:r>
        <w:rPr>
          <w:rFonts w:ascii="Noto Serif KR" w:cs="Noto Serif KR" w:eastAsia="Noto Serif KR" w:hAnsi="Noto Serif KR"/>
          <w:b/>
          <w:bCs/>
          <w:color w:val="003087"/>
          <w:sz w:val="26"/>
          <w:szCs w:val="26"/>
        </w:rPr>
        <w:t xml:space="preserve">5.6 처리 효율성</w:t>
      </w:r>
    </w:p>
    <w:p>
      <w:pPr>
        <w:spacing w:before="60" w:after="60"/>
      </w:pPr>
      <w:r>
        <w:t xml:space="preserve"/>
      </w:r>
    </w:p>
    <w:tbl>
      <w:tblPr>
        <w:tblW w:type="dxa" w:w="762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2220"/>
      </w:tblGrid>
      <w:tr>
        <w:tc>
          <w:tcPr>
            <w:tcW w:type="dxa" w:w="3200"/>
            <w:tcBorders>
              <w:top w:val="single" w:color="FFFFFF" w:sz="1"/>
              <w:left w:val="single" w:color="FFFFFF" w:sz="1"/>
              <w:bottom w:val="single" w:color="FFFFFF" w:sz="1"/>
              <w:right w:val="single" w:color="FFFFFF" w:sz="1"/>
            </w:tcBorders>
            <w:shd w:fill="003087" w:val="clear"/>
            <w:tcMar>
              <w:top w:type="dxa" w:w="80"/>
              <w:left w:type="dxa" w:w="120"/>
              <w:bottom w:type="dxa" w:w="80"/>
              <w:right w:type="dxa" w:w="120"/>
            </w:tcMar>
          </w:tcPr>
          <w:p>
            <w:pPr>
              <w:jc w:val="center"/>
            </w:pPr>
            <w:r>
              <w:rPr>
                <w:rFonts w:ascii="Noto Serif KR" w:cs="Noto Serif KR" w:eastAsia="Noto Serif KR" w:hAnsi="Noto Serif KR"/>
                <w:b/>
                <w:bCs/>
                <w:color w:val="FFFFFF"/>
                <w:sz w:val="19"/>
                <w:szCs w:val="19"/>
              </w:rPr>
              <w:t xml:space="preserve">지표</w:t>
            </w:r>
          </w:p>
        </w:tc>
        <w:tc>
          <w:tcPr>
            <w:tcW w:type="dxa" w:w="2200"/>
            <w:tcBorders>
              <w:top w:val="single" w:color="FFFFFF" w:sz="1"/>
              <w:left w:val="single" w:color="FFFFFF" w:sz="1"/>
              <w:bottom w:val="single" w:color="FFFFFF" w:sz="1"/>
              <w:right w:val="single" w:color="FFFFFF" w:sz="1"/>
            </w:tcBorders>
            <w:shd w:fill="003087" w:val="clear"/>
            <w:tcMar>
              <w:top w:type="dxa" w:w="80"/>
              <w:left w:type="dxa" w:w="120"/>
              <w:bottom w:type="dxa" w:w="80"/>
              <w:right w:type="dxa" w:w="120"/>
            </w:tcMar>
          </w:tcPr>
          <w:p>
            <w:pPr>
              <w:jc w:val="center"/>
            </w:pPr>
            <w:r>
              <w:rPr>
                <w:rFonts w:ascii="Noto Serif KR" w:cs="Noto Serif KR" w:eastAsia="Noto Serif KR" w:hAnsi="Noto Serif KR"/>
                <w:b/>
                <w:bCs/>
                <w:color w:val="FFFFFF"/>
                <w:sz w:val="19"/>
                <w:szCs w:val="19"/>
              </w:rPr>
              <w:t xml:space="preserve">인간 법원 소송</w:t>
            </w:r>
          </w:p>
        </w:tc>
        <w:tc>
          <w:tcPr>
            <w:tcW w:type="dxa" w:w="2220"/>
            <w:tcBorders>
              <w:top w:val="single" w:color="FFFFFF" w:sz="1"/>
              <w:left w:val="single" w:color="FFFFFF" w:sz="1"/>
              <w:bottom w:val="single" w:color="FFFFFF" w:sz="1"/>
              <w:right w:val="single" w:color="FFFFFF" w:sz="1"/>
            </w:tcBorders>
            <w:shd w:fill="003087" w:val="clear"/>
            <w:tcMar>
              <w:top w:type="dxa" w:w="80"/>
              <w:left w:type="dxa" w:w="120"/>
              <w:bottom w:type="dxa" w:w="80"/>
              <w:right w:type="dxa" w:w="120"/>
            </w:tcMar>
          </w:tcPr>
          <w:p>
            <w:pPr>
              <w:jc w:val="center"/>
            </w:pPr>
            <w:r>
              <w:rPr>
                <w:rFonts w:ascii="Noto Serif KR" w:cs="Noto Serif KR" w:eastAsia="Noto Serif KR" w:hAnsi="Noto Serif KR"/>
                <w:b/>
                <w:bCs/>
                <w:color w:val="FFFFFF"/>
                <w:sz w:val="19"/>
                <w:szCs w:val="19"/>
              </w:rPr>
              <w:t xml:space="preserve">K-OpenLaw</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Noto Serif KR" w:cs="Noto Serif KR" w:eastAsia="Noto Serif KR" w:hAnsi="Noto Serif KR"/>
                <w:color w:val="1A1A2E"/>
                <w:sz w:val="19"/>
                <w:szCs w:val="19"/>
              </w:rPr>
              <w:t xml:space="preserve">소요 시간</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Noto Serif KR" w:cs="Noto Serif KR" w:eastAsia="Noto Serif KR" w:hAnsi="Noto Serif KR"/>
                <w:color w:val="1A1A2E"/>
                <w:sz w:val="19"/>
                <w:szCs w:val="19"/>
              </w:rPr>
              <w:t xml:space="preserve">36개월 (1·2심)</w:t>
            </w:r>
          </w:p>
        </w:tc>
        <w:tc>
          <w:tcPr>
            <w:tcW w:type="dxa" w:w="22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Noto Serif KR" w:cs="Noto Serif KR" w:eastAsia="Noto Serif KR" w:hAnsi="Noto Serif KR"/>
                <w:color w:val="1A1A2E"/>
                <w:sz w:val="19"/>
                <w:szCs w:val="19"/>
              </w:rPr>
              <w:t xml:space="preserve">45.8분</w:t>
            </w:r>
          </w:p>
        </w:tc>
      </w:tr>
      <w:tr>
        <w:tc>
          <w:tcPr>
            <w:tcW w:type="dxa" w:w="3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jc w:val="left"/>
            </w:pPr>
            <w:r>
              <w:rPr>
                <w:rFonts w:ascii="Noto Serif KR" w:cs="Noto Serif KR" w:eastAsia="Noto Serif KR" w:hAnsi="Noto Serif KR"/>
                <w:color w:val="1A1A2E"/>
                <w:sz w:val="19"/>
                <w:szCs w:val="19"/>
              </w:rPr>
              <w:t xml:space="preserve">총 비용</w:t>
            </w:r>
          </w:p>
        </w:tc>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jc w:val="center"/>
            </w:pPr>
            <w:r>
              <w:rPr>
                <w:rFonts w:ascii="Noto Serif KR" w:cs="Noto Serif KR" w:eastAsia="Noto Serif KR" w:hAnsi="Noto Serif KR"/>
                <w:color w:val="1A1A2E"/>
                <w:sz w:val="19"/>
                <w:szCs w:val="19"/>
              </w:rPr>
              <w:t xml:space="preserve">3,000~5,000만 원</w:t>
            </w:r>
          </w:p>
        </w:tc>
        <w:tc>
          <w:tcPr>
            <w:tcW w:type="dxa" w:w="222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jc w:val="center"/>
            </w:pPr>
            <w:r>
              <w:rPr>
                <w:rFonts w:ascii="Noto Serif KR" w:cs="Noto Serif KR" w:eastAsia="Noto Serif KR" w:hAnsi="Noto Serif KR"/>
                <w:color w:val="1A1A2E"/>
                <w:sz w:val="19"/>
                <w:szCs w:val="19"/>
              </w:rPr>
              <w:t xml:space="preserve">약 36,200원</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Noto Serif KR" w:cs="Noto Serif KR" w:eastAsia="Noto Serif KR" w:hAnsi="Noto Serif KR"/>
                <w:color w:val="1A1A2E"/>
                <w:sz w:val="19"/>
                <w:szCs w:val="19"/>
              </w:rPr>
              <w:t xml:space="preserve">비용 비율</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Noto Serif KR" w:cs="Noto Serif KR" w:eastAsia="Noto Serif KR" w:hAnsi="Noto Serif KR"/>
                <w:color w:val="1A1A2E"/>
                <w:sz w:val="19"/>
                <w:szCs w:val="19"/>
              </w:rPr>
              <w:t xml:space="preserve">기준 (1×)</w:t>
            </w:r>
          </w:p>
        </w:tc>
        <w:tc>
          <w:tcPr>
            <w:tcW w:type="dxa" w:w="22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Noto Serif KR" w:cs="Noto Serif KR" w:eastAsia="Noto Serif KR" w:hAnsi="Noto Serif KR"/>
                <w:color w:val="1A1A2E"/>
                <w:sz w:val="19"/>
                <w:szCs w:val="19"/>
              </w:rPr>
              <w:t xml:space="preserve">약 1/1,000×</w:t>
            </w:r>
          </w:p>
        </w:tc>
      </w:tr>
      <w:tr>
        <w:tc>
          <w:tcPr>
            <w:tcW w:type="dxa" w:w="3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jc w:val="left"/>
            </w:pPr>
            <w:r>
              <w:rPr>
                <w:rFonts w:ascii="Noto Serif KR" w:cs="Noto Serif KR" w:eastAsia="Noto Serif KR" w:hAnsi="Noto Serif KR"/>
                <w:color w:val="1A1A2E"/>
                <w:sz w:val="19"/>
                <w:szCs w:val="19"/>
              </w:rPr>
              <w:t xml:space="preserve">판결 품질 (종합)</w:t>
            </w:r>
          </w:p>
        </w:tc>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jc w:val="center"/>
            </w:pPr>
            <w:r>
              <w:rPr>
                <w:rFonts w:ascii="Noto Serif KR" w:cs="Noto Serif KR" w:eastAsia="Noto Serif KR" w:hAnsi="Noto Serif KR"/>
                <w:color w:val="1A1A2E"/>
                <w:sz w:val="19"/>
                <w:szCs w:val="19"/>
              </w:rPr>
              <w:t xml:space="preserve">41점(1심) / 35점(2심)</w:t>
            </w:r>
          </w:p>
        </w:tc>
        <w:tc>
          <w:tcPr>
            <w:tcW w:type="dxa" w:w="222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jc w:val="center"/>
            </w:pPr>
            <w:r>
              <w:rPr>
                <w:rFonts w:ascii="Noto Serif KR" w:cs="Noto Serif KR" w:eastAsia="Noto Serif KR" w:hAnsi="Noto Serif KR"/>
                <w:color w:val="1A1A2E"/>
                <w:sz w:val="19"/>
                <w:szCs w:val="19"/>
              </w:rPr>
              <w:t xml:space="preserve">92점 (A)</w:t>
            </w:r>
          </w:p>
        </w:tc>
      </w:tr>
    </w:tbl>
    <w:p>
      <w:pPr>
        <w:spacing w:before="60" w:after="60"/>
      </w:pPr>
      <w:r>
        <w:t xml:space="preserve"/>
      </w:r>
    </w:p>
    <w:p>
      <w:pPr>
        <w:spacing w:before="60" w:after="60" w:line="340"/>
        <w:jc w:val="both"/>
      </w:pPr>
      <w:r>
        <w:rPr>
          <w:rFonts w:ascii="Noto Serif KR" w:cs="Noto Serif KR" w:eastAsia="Noto Serif KR" w:hAnsi="Noto Serif KR"/>
          <w:color w:val="1A1A2E"/>
          <w:sz w:val="20"/>
          <w:szCs w:val="20"/>
        </w:rPr>
        <w:t xml:space="preserve">분석 시간 상세: 증거 검증 0.4초 + 대변자 논증 28.3분 + 논쟁 관리 4.2분 + 판정 패널 12.9분 + 판결 생성 0.2분 = 45.8분</w:t>
      </w:r>
    </w:p>
    <w:p>
      <w:pPr>
        <w:pageBreakBefore/>
      </w:pPr>
      <w:r>
        <w:t xml:space="preserve"/>
      </w:r>
    </w:p>
    <w:p>
      <w:pPr>
        <w:pStyle w:val="Heading1"/>
        <w:pBdr>
          <w:bottom w:val="single" w:color="003087" w:sz="8" w:space="4"/>
        </w:pBdr>
        <w:spacing w:before="400" w:after="160" w:line="360"/>
      </w:pPr>
      <w:r>
        <w:rPr>
          <w:rFonts w:ascii="Noto Serif KR" w:cs="Noto Serif KR" w:eastAsia="Noto Serif KR" w:hAnsi="Noto Serif KR"/>
          <w:b/>
          <w:bCs/>
          <w:color w:val="001f5b"/>
          <w:sz w:val="32"/>
          <w:szCs w:val="32"/>
        </w:rPr>
        <w:t xml:space="preserve">6. 논의</w:t>
      </w:r>
    </w:p>
    <w:p>
      <w:pPr>
        <w:pStyle w:val="Heading2"/>
        <w:spacing w:before="280" w:after="120" w:line="340"/>
      </w:pPr>
      <w:r>
        <w:rPr>
          <w:rFonts w:ascii="Noto Serif KR" w:cs="Noto Serif KR" w:eastAsia="Noto Serif KR" w:hAnsi="Noto Serif KR"/>
          <w:b/>
          <w:bCs/>
          <w:color w:val="003087"/>
          <w:sz w:val="26"/>
          <w:szCs w:val="26"/>
        </w:rPr>
        <w:t xml:space="preserve">6.1 RQ1에 대한 답변: K-OpenLaw의 법리 분석 능력</w:t>
      </w:r>
    </w:p>
    <w:p>
      <w:pPr>
        <w:pBdr>
          <w:left w:val="single" w:color="C9A000" w:sz="12" w:space="8"/>
        </w:pBdr>
        <w:shd w:fill="FFF8E1" w:val="clear"/>
        <w:spacing w:before="80" w:after="80" w:line="320"/>
        <w:ind w:left="400" w:right="400"/>
        <w:jc w:val="both"/>
      </w:pPr>
      <w:r>
        <w:rPr>
          <w:rFonts w:ascii="Noto Serif KR" w:cs="Noto Serif KR" w:eastAsia="Noto Serif KR" w:hAnsi="Noto Serif KR"/>
          <w:color w:val="6B4C00"/>
          <w:sz w:val="18"/>
          <w:szCs w:val="18"/>
        </w:rPr>
        <w:t xml:space="preserve">해석 전제: 이 절의 결과를 해석하기에 앞서, 본 연구의 근본 목적을 재환기한다. 본 실험은 AI 시스템이 법조인보다 뛰어남을 입증하기 위한 것이 아니다. 개별 법조인의 편향과 제한된 지식을 보완할 합리적인 방안을 도출하는 것, 즉 기존 법조인의 사회적 기능을 보완하고 보강하기 위한 방안을 탐색하는 것이 이 연구의 목적이다. 이하의 비교 데이터는 그 목적 아래 읽혀야 한다.</w:t>
      </w:r>
    </w:p>
    <w:p>
      <w:pPr>
        <w:spacing w:before="60" w:after="60"/>
      </w:pPr>
      <w:r>
        <w:t xml:space="preserve"/>
      </w:r>
    </w:p>
    <w:p>
      <w:pPr>
        <w:spacing w:before="60" w:after="60" w:line="340"/>
        <w:jc w:val="both"/>
      </w:pPr>
      <w:r>
        <w:rPr>
          <w:rFonts w:ascii="Noto Serif KR" w:cs="Noto Serif KR" w:eastAsia="Noto Serif KR" w:hAnsi="Noto Serif KR"/>
          <w:color w:val="1A1A2E"/>
          <w:sz w:val="20"/>
          <w:szCs w:val="20"/>
        </w:rPr>
        <w:t xml:space="preserve">본 연구는 K-OpenLaw가 파산법·민사소송법·임대차법이 교차하는 복잡한 사건에서 실제 법원 판결의 법리적 오류를 체계적으로 식별하고(1심 11개, 2심 8개), 헌법적 가치와 상위 법령에 기반한 논리적으로 정합성 높은 대안 판결(92점)을 생성할 수 있음을 실증하였다.</w:t>
      </w:r>
    </w:p>
    <w:p>
      <w:pPr>
        <w:spacing w:before="60" w:after="60"/>
      </w:pPr>
      <w:r>
        <w:t xml:space="preserve"/>
      </w:r>
    </w:p>
    <w:p>
      <w:pPr>
        <w:spacing w:before="60" w:after="60" w:line="340"/>
        <w:jc w:val="both"/>
      </w:pPr>
      <w:r>
        <w:rPr>
          <w:rFonts w:ascii="Noto Serif KR" w:cs="Noto Serif KR" w:eastAsia="Noto Serif KR" w:hAnsi="Noto Serif KR"/>
          <w:color w:val="1A1A2E"/>
          <w:sz w:val="20"/>
          <w:szCs w:val="20"/>
        </w:rPr>
        <w:t xml:space="preserve">다만, 이는 K-OpenLaw가 법원을 '대체'할 수 있다는 주장으로 해석되어서는 안 된다. 오히려 이 결과는, AI 시스템이 인간 법관의 판단 과정에서 간과될 수 있는 법리적 쟁점을 보완하고 보다 풍부한 법리적 대안을 제시할 수 있는 보조 도구로서의 가능성을 입증한 것으로 보아야 한다. 실제 소송에서 K-OpenLaw의 분석 결과가 원고 본인의 자력 소송 법리 논거로 활용되었고, 이에 대해 피고 측 변호인단과 법원이 각각 대응하는 과정은, AI와 인간 법조인의 협력적 경합(co-opetition)의 한 모델을 제시한다.</w:t>
      </w:r>
    </w:p>
    <w:p>
      <w:pPr>
        <w:spacing w:before="60" w:after="60"/>
      </w:pPr>
      <w:r>
        <w:t xml:space="preserve"/>
      </w:r>
    </w:p>
    <w:p>
      <w:pPr>
        <w:spacing w:before="60" w:after="60" w:line="340"/>
        <w:jc w:val="both"/>
      </w:pPr>
      <w:r>
        <w:rPr>
          <w:rFonts w:ascii="Noto Serif KR" w:cs="Noto Serif KR" w:eastAsia="Noto Serif KR" w:hAnsi="Noto Serif KR"/>
          <w:color w:val="1A1A2E"/>
          <w:sz w:val="20"/>
          <w:szCs w:val="20"/>
        </w:rPr>
        <w:t xml:space="preserve">본 연구의 한계는 명확히 인정되어야 한다. N=1 사례는 일반화의 근거가 될 수 없으며, RQ1에 대한 답변은 "이 사건에서 K-OpenLaw는 법원 판결과 규범 위계 적용 방식에서 유의미한 차이를 보였다"는 수준에서의 확인이다.</w:t>
      </w:r>
    </w:p>
    <w:p>
      <w:pPr>
        <w:pStyle w:val="Heading2"/>
        <w:spacing w:before="280" w:after="120" w:line="340"/>
      </w:pPr>
      <w:r>
        <w:rPr>
          <w:rFonts w:ascii="Noto Serif KR" w:cs="Noto Serif KR" w:eastAsia="Noto Serif KR" w:hAnsi="Noto Serif KR"/>
          <w:b/>
          <w:bCs/>
          <w:color w:val="003087"/>
          <w:sz w:val="26"/>
          <w:szCs w:val="26"/>
        </w:rPr>
        <w:t xml:space="preserve">6.2 RQ2에 대한 답변: 예방적 잠재력의 간접 근거</w:t>
      </w:r>
    </w:p>
    <w:p>
      <w:pPr>
        <w:spacing w:before="60" w:after="60" w:line="340"/>
        <w:jc w:val="both"/>
      </w:pPr>
      <w:r>
        <w:rPr>
          <w:rFonts w:ascii="Noto Serif KR" w:cs="Noto Serif KR" w:eastAsia="Noto Serif KR" w:hAnsi="Noto Serif KR"/>
          <w:color w:val="1A1A2E"/>
          <w:sz w:val="20"/>
          <w:szCs w:val="20"/>
        </w:rPr>
        <w:t xml:space="preserve">K-OpenLaw의 법리 분석 능력 실증은 OpenHash-고팡 생태계의 분쟁 예방적 잠재력에 대해 네 가지 방식으로 간접 근거를 제공한다.</w:t>
      </w:r>
    </w:p>
    <w:p>
      <w:pPr>
        <w:spacing w:before="60" w:after="60"/>
      </w:pPr>
      <w:r>
        <w:t xml:space="preserve"/>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근거 1 — 사후 해결 능력의 실증은 사전 예방 능력의 신뢰도를 높인다: K-OpenLaw가 이미 발생한 복잡한 분쟁을 탁월하게 해결한다는 것이 입증되면, AI 비서의 "위법 징후 경고"에 대한 사용자의 신뢰도 또한 높아진다.</w:t>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근거 2 — 증거 무결성 보장의 억지 효과: 범죄학의 억지 이론(Beccaria 1764; Gibbs 1975)에 따르면, 처벌의 확실성이 처벌의 엄격성보다 범죄 억지에 더 효과적이다. OpenHash는 불법 행위의 "증거 잔류 확실성"을 기술적으로 거의 1로 높여 강력한 억지 효과를 생성한다.</w:t>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근거 3 — 예방 법학 이론과의 정합성: Louis Brown(1950)의 예방 법학에 따르면, 법률 위반의 대다수는 당사자가 자신의 행위가 위법임을 모르거나 증거가 남지 않는다고 착각할 때 발생한다. AI 비서는 전자를, OpenHash는 후자를 각각 해결한다.</w:t>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근거 4 — ADR 유인의 증가: K-OpenLaw의 처리 비용(36,200원)과 시간(45.8분)이 기존 소송(수천만 원, 수년)에 비해 압도적으로 낮다는 사실은, 합리적 당사자로 하여금 소송보다 ADR을 선택하는 유인을 대폭 높인다.</w:t>
      </w:r>
    </w:p>
    <w:p>
      <w:pPr>
        <w:spacing w:before="60" w:after="60"/>
      </w:pPr>
      <w:r>
        <w:t xml:space="preserve"/>
      </w:r>
    </w:p>
    <w:p>
      <w:pPr>
        <w:pBdr>
          <w:left w:val="single" w:color="C9A000" w:sz="12" w:space="12"/>
        </w:pBdr>
        <w:spacing w:before="80" w:after="80" w:line="320"/>
        <w:ind w:left="560" w:right="560"/>
        <w:jc w:val="both"/>
      </w:pPr>
      <w:r>
        <w:rPr>
          <w:rFonts w:ascii="Noto Serif KR" w:cs="Noto Serif KR" w:eastAsia="Noto Serif KR" w:hAnsi="Noto Serif KR"/>
          <w:i/>
          <w:iCs/>
          <w:color w:val="4A5568"/>
          <w:sz w:val="19"/>
          <w:szCs w:val="19"/>
        </w:rPr>
        <w:t xml:space="preserve">"K-OpenLaw의 우수한 분쟁 해결 능력(∵ 본 연구의 실증)과 OpenHash의 증거 위변조 불가 속성(∵ 기술적 사실)이 사회에 자리 잡으면, 사람들은 분쟁을 피하거나 조기에 합의하려는 유인이 높아져 법원 사건의 상당 부분이 사전에 예방되거나 신속한 자율 해결로 전환될 것이다. 이것이 본 연구가 제시하는 이론적 비전이며, 그 실현을 향한 첫 번째 실증적 걸음이다."</w:t>
      </w:r>
    </w:p>
    <w:p>
      <w:pPr>
        <w:spacing w:before="60" w:after="60"/>
      </w:pPr>
      <w:r>
        <w:t xml:space="preserve"/>
      </w:r>
    </w:p>
    <w:p>
      <w:pPr>
        <w:pBdr>
          <w:left w:val="single" w:color="C9A000" w:sz="12" w:space="8"/>
        </w:pBdr>
        <w:shd w:fill="FFF8E1" w:val="clear"/>
        <w:spacing w:before="80" w:after="80" w:line="320"/>
        <w:ind w:left="400" w:right="400"/>
        <w:jc w:val="both"/>
      </w:pPr>
      <w:r>
        <w:rPr>
          <w:rFonts w:ascii="Noto Serif KR" w:cs="Noto Serif KR" w:eastAsia="Noto Serif KR" w:hAnsi="Noto Serif KR"/>
          <w:color w:val="6B4C00"/>
          <w:sz w:val="18"/>
          <w:szCs w:val="18"/>
        </w:rPr>
        <w:t xml:space="preserve">주의: 구체적인 수치(예: "99%")는 현 단계의 근거로는 엄밀하게 뒷받침할 수 없으며, 향후 RCT 설계 등 대규모 전향적 연구를 통해 계량적으로 검증되어야 한다.</w:t>
      </w:r>
    </w:p>
    <w:p>
      <w:pPr>
        <w:pStyle w:val="Heading2"/>
        <w:spacing w:before="280" w:after="120" w:line="340"/>
      </w:pPr>
      <w:r>
        <w:rPr>
          <w:rFonts w:ascii="Noto Serif KR" w:cs="Noto Serif KR" w:eastAsia="Noto Serif KR" w:hAnsi="Noto Serif KR"/>
          <w:b/>
          <w:bCs/>
          <w:color w:val="003087"/>
          <w:sz w:val="26"/>
          <w:szCs w:val="26"/>
        </w:rPr>
        <w:t xml:space="preserve">6.3 RQ3에 대한 답변: OpenHash 증거 무결성의 역할</w:t>
      </w:r>
    </w:p>
    <w:p>
      <w:pPr>
        <w:spacing w:before="60" w:after="60" w:line="340"/>
        <w:jc w:val="both"/>
      </w:pPr>
      <w:r>
        <w:rPr>
          <w:rFonts w:ascii="Noto Serif KR" w:cs="Noto Serif KR" w:eastAsia="Noto Serif KR" w:hAnsi="Noto Serif KR"/>
          <w:color w:val="1A1A2E"/>
          <w:sz w:val="20"/>
          <w:szCs w:val="20"/>
        </w:rPr>
        <w:t xml:space="preserve">첫째, 논쟁의 집중화다. 24개 증거 항목 전부의 무결성이 즉시 확인되어 증거 다툼이 0건 발생하였다. 논쟁은 처음부터 순수한 법리 논쟁으로 집중되어 분석 효율성이 크게 향상되었다.</w:t>
      </w:r>
    </w:p>
    <w:p>
      <w:pPr>
        <w:spacing w:before="60" w:after="60"/>
      </w:pPr>
      <w:r>
        <w:t xml:space="preserve"/>
      </w:r>
    </w:p>
    <w:p>
      <w:pPr>
        <w:spacing w:before="60" w:after="60" w:line="340"/>
        <w:jc w:val="both"/>
      </w:pPr>
      <w:r>
        <w:rPr>
          <w:rFonts w:ascii="Noto Serif KR" w:cs="Noto Serif KR" w:eastAsia="Noto Serif KR" w:hAnsi="Noto Serif KR"/>
          <w:color w:val="1A1A2E"/>
          <w:sz w:val="20"/>
          <w:szCs w:val="20"/>
        </w:rPr>
        <w:t xml:space="preserve">둘째, 역소급적 사실 복원이다. 피고의 퇴거 압박이 파산선고 이전부터 시작되었음을 타임스탬프로 확인한 것은, OpenHash 기록이 없었다면 사실 확정 자체가 불가능했을 가능성이 높다.</w:t>
      </w:r>
    </w:p>
    <w:p>
      <w:pPr>
        <w:pStyle w:val="Heading2"/>
        <w:spacing w:before="280" w:after="120" w:line="340"/>
      </w:pPr>
      <w:r>
        <w:rPr>
          <w:rFonts w:ascii="Noto Serif KR" w:cs="Noto Serif KR" w:eastAsia="Noto Serif KR" w:hAnsi="Noto Serif KR"/>
          <w:b/>
          <w:bCs/>
          <w:color w:val="003087"/>
          <w:sz w:val="26"/>
          <w:szCs w:val="26"/>
        </w:rPr>
        <w:t xml:space="preserve">6.4 사법적 독립성과 K-OpenLaw의 관계</w:t>
      </w:r>
    </w:p>
    <w:p>
      <w:pPr>
        <w:spacing w:before="60" w:after="60" w:line="340"/>
        <w:jc w:val="both"/>
      </w:pPr>
      <w:r>
        <w:rPr>
          <w:rFonts w:ascii="Noto Serif KR" w:cs="Noto Serif KR" w:eastAsia="Noto Serif KR" w:hAnsi="Noto Serif KR"/>
          <w:color w:val="1A1A2E"/>
          <w:sz w:val="20"/>
          <w:szCs w:val="20"/>
        </w:rPr>
        <w:t xml:space="preserve">K-OpenLaw는 인간 법관을 대체하는 것이 아니다. K-OpenLaw 역할: 증거 무결성 검증, 규범 위계 강제, 대립 논증 구조화, 판결 초안 생성. 인간 법원 역할: 법리 창설, 사회적 맥락과 형평성 고려, K-OpenLaw 판결의 최종 승인·수정·변경. Sourdin(2018)의 분류에 따르면 K-OpenLaw는 "의사결정자" 단계를 지향하되, 인간 법관의 최종 승인을 필수 단계로 포함하는 하이브리드 모델이다.</w:t>
      </w:r>
    </w:p>
    <w:p>
      <w:pPr>
        <w:pStyle w:val="Heading2"/>
        <w:spacing w:before="280" w:after="120" w:line="340"/>
      </w:pPr>
      <w:r>
        <w:rPr>
          <w:rFonts w:ascii="Noto Serif KR" w:cs="Noto Serif KR" w:eastAsia="Noto Serif KR" w:hAnsi="Noto Serif KR"/>
          <w:b/>
          <w:bCs/>
          <w:color w:val="003087"/>
          <w:sz w:val="26"/>
          <w:szCs w:val="26"/>
        </w:rPr>
        <w:t xml:space="preserve">6.5 사회적·제도적 파급효과: 잠재적 가능성과 과제</w:t>
      </w:r>
    </w:p>
    <w:p>
      <w:pPr>
        <w:pBdr>
          <w:left w:val="single" w:color="C9A000" w:sz="12" w:space="8"/>
        </w:pBdr>
        <w:shd w:fill="FFF8E1" w:val="clear"/>
        <w:spacing w:before="80" w:after="80" w:line="320"/>
        <w:ind w:left="400" w:right="400"/>
        <w:jc w:val="both"/>
      </w:pPr>
      <w:r>
        <w:rPr>
          <w:rFonts w:ascii="Noto Serif KR" w:cs="Noto Serif KR" w:eastAsia="Noto Serif KR" w:hAnsi="Noto Serif KR"/>
          <w:color w:val="6B4C00"/>
          <w:sz w:val="18"/>
          <w:szCs w:val="18"/>
        </w:rPr>
        <w:t xml:space="preserve">본 절의 내용은 단일 사례 연구로 검증된 사실이 아니라, 시스템의 잠재력이 실현될 때의 이론적 시나리오이다. 향후 연구자·법조계·정책 입안자에게 논의의 프레임워크를 제공하는 것이 목적이다.</w:t>
      </w:r>
    </w:p>
    <w:p>
      <w:pPr>
        <w:spacing w:before="60" w:after="60"/>
      </w:pPr>
      <w:r>
        <w:t xml:space="preserve"/>
      </w:r>
    </w:p>
    <w:p>
      <w:pPr>
        <w:pStyle w:val="Heading3"/>
        <w:spacing w:before="200" w:after="80" w:line="340"/>
      </w:pPr>
      <w:r>
        <w:rPr>
          <w:rFonts w:ascii="Noto Serif KR" w:cs="Noto Serif KR" w:eastAsia="Noto Serif KR" w:hAnsi="Noto Serif KR"/>
          <w:b/>
          <w:bCs/>
          <w:color w:val="001f5b"/>
          <w:sz w:val="22"/>
          <w:szCs w:val="22"/>
        </w:rPr>
        <w:t xml:space="preserve">6.5.1 사법 패러다임의 전환: 사후적 정의에서 예방적 정의로</w:t>
      </w:r>
    </w:p>
    <w:p>
      <w:pPr>
        <w:spacing w:before="60" w:after="60" w:line="340"/>
        <w:jc w:val="both"/>
      </w:pPr>
      <w:r>
        <w:rPr>
          <w:rFonts w:ascii="Noto Serif KR" w:cs="Noto Serif KR" w:eastAsia="Noto Serif KR" w:hAnsi="Noto Serif KR"/>
          <w:color w:val="1A1A2E"/>
          <w:sz w:val="20"/>
          <w:szCs w:val="20"/>
        </w:rPr>
        <w:t xml:space="preserve">OpenHash-고팡 생태계가 충분히 대중화된다면, 사법 시스템의 작동 구조가 근본적으로 재편될 수 있다: 1단계(예방) 실시간 위법 징후 감지 → AI 비서 자동 경고 → 사전 차단; 2단계(자율 해결) 예방 실패 분쟁 발생 시 K-OpenLaw ADR → 신속 해결; 3단계(사법적 확인) 복잡·신규 법리 사건에 한해 인간 법원 개입. 이 구조가 실현된다면, 법의 기능이 '분쟁 해결'에서 '분쟁 예방'으로 무게중심이 이동하는 패러다임 전환이 가능하다.</w:t>
      </w:r>
    </w:p>
    <w:p>
      <w:pPr>
        <w:pStyle w:val="Heading3"/>
        <w:spacing w:before="200" w:after="80" w:line="340"/>
      </w:pPr>
      <w:r>
        <w:rPr>
          <w:rFonts w:ascii="Noto Serif KR" w:cs="Noto Serif KR" w:eastAsia="Noto Serif KR" w:hAnsi="Noto Serif KR"/>
          <w:b/>
          <w:bCs/>
          <w:color w:val="001f5b"/>
          <w:sz w:val="22"/>
          <w:szCs w:val="22"/>
        </w:rPr>
        <w:t xml:space="preserve">6.5.2 법관 및 법조인의 역할 변화</w:t>
      </w:r>
    </w:p>
    <w:p>
      <w:pPr>
        <w:spacing w:before="60" w:after="60" w:line="340"/>
        <w:jc w:val="both"/>
      </w:pPr>
      <w:r>
        <w:rPr>
          <w:rFonts w:ascii="Noto Serif KR" w:cs="Noto Serif KR" w:eastAsia="Noto Serif KR" w:hAnsi="Noto Serif KR"/>
          <w:color w:val="1A1A2E"/>
          <w:sz w:val="20"/>
          <w:szCs w:val="20"/>
        </w:rPr>
        <w:t xml:space="preserve">법관은 새로운 법리의 창설, 가치 충돌의 해결, 사회적 형평성 판단과 같이 인간의 판단이 본질적으로 요구되는 업무에 역량을 집중할 수 있게 된다. 변호사는 AI 시스템의 지휘·감독, 전략 수립, 의뢰인 상담, 윤리적 판단 등 고차원적 역량에 대한 수요가 증가할 것이다(Barton &amp; Bibas, 2017).</w:t>
      </w:r>
    </w:p>
    <w:p>
      <w:pPr>
        <w:spacing w:before="60" w:after="60"/>
      </w:pPr>
      <w:r>
        <w:t xml:space="preserve"/>
      </w:r>
    </w:p>
    <w:p>
      <w:pPr>
        <w:spacing w:before="60" w:after="60" w:line="340"/>
        <w:jc w:val="both"/>
      </w:pPr>
      <w:r>
        <w:rPr>
          <w:rFonts w:ascii="Noto Serif KR" w:cs="Noto Serif KR" w:eastAsia="Noto Serif KR" w:hAnsi="Noto Serif KR"/>
          <w:color w:val="1A1A2E"/>
          <w:sz w:val="20"/>
          <w:szCs w:val="20"/>
        </w:rPr>
        <w:t xml:space="preserve">본 연구의 사례는 더욱 주목할 만한 가능성을 실증한다. 법률 대리인을 선임하지 못한 원고가 AI 전문가(비법조인)의 기술적 지원을 받아 K-OpenLaw를 직접 활용하여 자력 소송을 수행하였다. 이는 AI가 변호사의 판단을 대체하는 것이 아니라, 기존에 법률 서비스에 접근하기 어려웠던 당사자가 스스로 법리를 탐구하고 주장을 구성할 수 있도록 확장하는 도구로 기능할 수 있음을 보여준다.</w:t>
      </w:r>
    </w:p>
    <w:p>
      <w:pPr>
        <w:pStyle w:val="Heading3"/>
        <w:spacing w:before="200" w:after="80" w:line="340"/>
      </w:pPr>
      <w:r>
        <w:rPr>
          <w:rFonts w:ascii="Noto Serif KR" w:cs="Noto Serif KR" w:eastAsia="Noto Serif KR" w:hAnsi="Noto Serif KR"/>
          <w:b/>
          <w:bCs/>
          <w:color w:val="001f5b"/>
          <w:sz w:val="22"/>
          <w:szCs w:val="22"/>
        </w:rPr>
        <w:t xml:space="preserve">6.5.3 잠재적 위험과 규제 과제</w:t>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위험 1 — 사법부의 제도적 저항: 점진적 도입, 법조인 교육, 충분한 사회적 논의가 선행되어야 한다.</w:t>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위험 2 — 감시 사회화 위험: Gate-Keeper 원칙의 법·제도적 보장과 데이터 접근 영장주의가 병행되어야 한다(Hörnle, 2009).</w:t>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위험 3 — 디지털 격차의 심화: 공공 인프라 차원의 보편적 접근 보장과 디지털 리터러시 지원이 필요하다.</w:t>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위험 4 — 알고리즘 편향과 책임 소재: 개발사·운영자·사용자 간 법적 책임 소재에 대한 명확한 기준 정립이 선행되어야 한다(Sourdin, 2018).</w:t>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위험 5 — 기술 의존도 증가: 사법 인프라의 기술적 이중화와 오프라인 대체 절차 상시 유지가 필요하다.</w:t>
      </w:r>
    </w:p>
    <w:p>
      <w:pPr>
        <w:pageBreakBefore/>
      </w:pPr>
      <w:r>
        <w:t xml:space="preserve"/>
      </w:r>
    </w:p>
    <w:p>
      <w:pPr>
        <w:pStyle w:val="Heading1"/>
        <w:pBdr>
          <w:bottom w:val="single" w:color="003087" w:sz="8" w:space="4"/>
        </w:pBdr>
        <w:spacing w:before="400" w:after="160" w:line="360"/>
      </w:pPr>
      <w:r>
        <w:rPr>
          <w:rFonts w:ascii="Noto Serif KR" w:cs="Noto Serif KR" w:eastAsia="Noto Serif KR" w:hAnsi="Noto Serif KR"/>
          <w:b/>
          <w:bCs/>
          <w:color w:val="001f5b"/>
          <w:sz w:val="32"/>
          <w:szCs w:val="32"/>
        </w:rPr>
        <w:t xml:space="preserve">7. 한계 및 향후 연구 과제</w:t>
      </w:r>
    </w:p>
    <w:p>
      <w:pPr>
        <w:pStyle w:val="Heading2"/>
        <w:spacing w:before="280" w:after="120" w:line="340"/>
      </w:pPr>
      <w:r>
        <w:rPr>
          <w:rFonts w:ascii="Noto Serif KR" w:cs="Noto Serif KR" w:eastAsia="Noto Serif KR" w:hAnsi="Noto Serif KR"/>
          <w:b/>
          <w:bCs/>
          <w:color w:val="003087"/>
          <w:sz w:val="26"/>
          <w:szCs w:val="26"/>
        </w:rPr>
        <w:t xml:space="preserve">7.1 본 연구의 한계</w:t>
      </w:r>
    </w:p>
    <w:p>
      <w:pPr>
        <w:pStyle w:val="ListParagraph"/>
        <w:numPr>
          <w:ilvl w:val="0"/>
          <w:numId w:val="3"/>
        </w:numPr>
        <w:spacing w:before="40" w:after="40" w:line="320"/>
      </w:pPr>
      <w:r>
        <w:rPr>
          <w:rFonts w:ascii="Noto Serif KR" w:cs="Noto Serif KR" w:eastAsia="Noto Serif KR" w:hAnsi="Noto Serif KR"/>
          <w:color w:val="1A1A2E"/>
          <w:sz w:val="20"/>
          <w:szCs w:val="20"/>
        </w:rPr>
        <w:t xml:space="preserve">단일 사례의 일반화 제한 (가장 중요한 한계): 본 연구는 N=1 사례에 기반한다. 본 연구의 결과는 "K-OpenLaw 시스템의 잠재적 효용성을 강력히 시사한다"는 수준의 해석에 그쳐야 하며, 향후 대규모 다사례 연구를 통한 검증이 반드시 수행되어야 한다.</w:t>
      </w:r>
    </w:p>
    <w:p>
      <w:pPr>
        <w:pStyle w:val="ListParagraph"/>
        <w:numPr>
          <w:ilvl w:val="0"/>
          <w:numId w:val="3"/>
        </w:numPr>
        <w:spacing w:before="40" w:after="40" w:line="320"/>
      </w:pPr>
      <w:r>
        <w:rPr>
          <w:rFonts w:ascii="Noto Serif KR" w:cs="Noto Serif KR" w:eastAsia="Noto Serif KR" w:hAnsi="Noto Serif KR"/>
          <w:color w:val="1A1A2E"/>
          <w:sz w:val="20"/>
          <w:szCs w:val="20"/>
        </w:rPr>
        <w:t xml:space="preserve">평가 방법론의 개발팀 편향: 5개 차원 평가 방법론이 K-OpenLaw 연구그룹에 의해 개발·적용되어 구조적 편향의 가능성이 있다. 독립 법학자 블라인드 평가 및 Cohen's κ 측정이 필수적이다. 이 검증이 이루어지기 전까지 본 정량 결과는 탐색적(exploratory) 데이터로 해석되어야 한다.</w:t>
      </w:r>
    </w:p>
    <w:p>
      <w:pPr>
        <w:pStyle w:val="ListParagraph"/>
        <w:numPr>
          <w:ilvl w:val="0"/>
          <w:numId w:val="3"/>
        </w:numPr>
        <w:spacing w:before="40" w:after="40" w:line="320"/>
      </w:pPr>
      <w:r>
        <w:rPr>
          <w:rFonts w:ascii="Noto Serif KR" w:cs="Noto Serif KR" w:eastAsia="Noto Serif KR" w:hAnsi="Noto Serif KR"/>
          <w:color w:val="1A1A2E"/>
          <w:sz w:val="20"/>
          <w:szCs w:val="20"/>
        </w:rPr>
        <w:t xml:space="preserve">예방 법학 기능의 소급 적용 한계: 본 사건에서 고팡 예방 법학 기능은 반사실적 시뮬레이션(counterfactual simulation) 수준으로만 적용되었다. 실제 예방 효과를 측정하기 위해서는 전향적(prospective) 연구가 필요하다.</w:t>
      </w:r>
    </w:p>
    <w:p>
      <w:pPr>
        <w:pStyle w:val="ListParagraph"/>
        <w:numPr>
          <w:ilvl w:val="0"/>
          <w:numId w:val="3"/>
        </w:numPr>
        <w:spacing w:before="40" w:after="40" w:line="320"/>
      </w:pPr>
      <w:r>
        <w:rPr>
          <w:rFonts w:ascii="Noto Serif KR" w:cs="Noto Serif KR" w:eastAsia="Noto Serif KR" w:hAnsi="Noto Serif KR"/>
          <w:color w:val="1A1A2E"/>
          <w:sz w:val="20"/>
          <w:szCs w:val="20"/>
        </w:rPr>
        <w:t xml:space="preserve">OpenHash 네트워크의 실용 배포 단계: 현재 프로토타입 검증 단계(월 $49 AWS 환경)에 있으며, 3,500개 읍면동 노드 전국 배포가 선행되어야 한다.</w:t>
      </w:r>
    </w:p>
    <w:p>
      <w:pPr>
        <w:pStyle w:val="ListParagraph"/>
        <w:numPr>
          <w:ilvl w:val="0"/>
          <w:numId w:val="3"/>
        </w:numPr>
        <w:spacing w:before="40" w:after="40" w:line="320"/>
      </w:pPr>
      <w:r>
        <w:rPr>
          <w:rFonts w:ascii="Noto Serif KR" w:cs="Noto Serif KR" w:eastAsia="Noto Serif KR" w:hAnsi="Noto Serif KR"/>
          <w:color w:val="1A1A2E"/>
          <w:sz w:val="20"/>
          <w:szCs w:val="20"/>
        </w:rPr>
        <w:t xml:space="preserve">법적 권위의 부재: K-OpenLaw 판결은 현행법상 사법적 구속력이 없다. 중재법, 민사소송법 등 관련 법령의 정비가 필요하다.</w:t>
      </w:r>
    </w:p>
    <w:p>
      <w:pPr>
        <w:pStyle w:val="Heading2"/>
        <w:spacing w:before="280" w:after="120" w:line="340"/>
      </w:pPr>
      <w:r>
        <w:rPr>
          <w:rFonts w:ascii="Noto Serif KR" w:cs="Noto Serif KR" w:eastAsia="Noto Serif KR" w:hAnsi="Noto Serif KR"/>
          <w:b/>
          <w:bCs/>
          <w:color w:val="003087"/>
          <w:sz w:val="26"/>
          <w:szCs w:val="26"/>
        </w:rPr>
        <w:t xml:space="preserve">7.2 향후 연구 과제</w:t>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과제 1 [최우선] — 독립 법학자 블라인드 평가: 현재 법학전문대학원 민사소송법·파산법 전공 교수 2인에게 블라인드 평가를 의뢰하는 절차를 진행 중이다. K-OpenLaw 판결문과 1·2심 실제 판결문의 출처를 모두 은폐한 상태에서 부록 H의 동일 루브릭으로 독립 채점하며, Cohen's κ를 측정할 예정이다. κ ≥ 0.61 미달 시 루브릭을 재정비하여 재평가를 실시한다.</w:t>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과제 2 — 대규모 다사례 연구: 100개 이상 다양한 사건 유형에 K-OpenLaw 적용. 민사·형사·행정·가사 각 분야별 성능 차이 분석.</w:t>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과제 3 — 전향적 분쟁 예방 효과 측정: 고팡 도입 집단 vs. 미도입 집단의 분쟁 발생률 비교. RCT(무작위 대조 실험) 설계 권장.</w:t>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과제 4 — '대다수 분쟁 예방' 비전의 계량적 검증: 억지 효과, 조기 경보 효과, ADR 유인 효과를 각각 독립 변수로 계량화하는 방법론 개발.</w:t>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과제 5 — 국제 비교 연구: 에스토니아 e-Government, 싱가포르 ODR 플랫폼, 유럽 ODR Directive(2013/11/EU)와의 비교 분석.</w:t>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과제 6 — 법령 정비 연구: K-OpenLaw 판결에 법적 권위를 부여하기 위한 중재법·민사소송법 개정 방향 연구.</w:t>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과제 7 — 민사-형사 연계 법리 검증 연구: 본 사건에는 피고가 1심 및 2심 판결의 핵심 증거로 제출한 특정 문서(관리비완납서)의 진정성에 관한 의혹이 병존한다. 이 의혹이 향후 형사 고발 등으로 발전하는 경우, K-OpenLaw가 민사책임(불법행위·손해배상)과 형사책임(사문서위조·사기 등)을 어떻게 구분하고 연계하여 법리 분석을 수행할 수 있는지 검증할 계획이다.</w:t>
      </w:r>
    </w:p>
    <w:p>
      <w:pPr>
        <w:pStyle w:val="ListParagraph"/>
        <w:numPr>
          <w:ilvl w:val="0"/>
          <w:numId w:val="2"/>
        </w:numPr>
        <w:spacing w:before="40" w:after="40" w:line="320"/>
      </w:pPr>
      <w:r>
        <w:rPr>
          <w:rFonts w:ascii="Noto Serif KR" w:cs="Noto Serif KR" w:eastAsia="Noto Serif KR" w:hAnsi="Noto Serif KR"/>
          <w:color w:val="1A1A2E"/>
          <w:sz w:val="20"/>
          <w:szCs w:val="20"/>
        </w:rPr>
        <w:t xml:space="preserve">과제 8 — 보편적 인권 7단계 위계 연구: UN 세계인권선언·ICCPR 기반 보편적 인권을 0단계로 추가하는 7단계 위계 설계.</w:t>
      </w:r>
    </w:p>
    <w:p>
      <w:pPr>
        <w:pageBreakBefore/>
      </w:pPr>
      <w:r>
        <w:t xml:space="preserve"/>
      </w:r>
    </w:p>
    <w:p>
      <w:pPr>
        <w:pStyle w:val="Heading1"/>
        <w:pBdr>
          <w:bottom w:val="single" w:color="003087" w:sz="8" w:space="4"/>
        </w:pBdr>
        <w:spacing w:before="400" w:after="160" w:line="360"/>
      </w:pPr>
      <w:r>
        <w:rPr>
          <w:rFonts w:ascii="Noto Serif KR" w:cs="Noto Serif KR" w:eastAsia="Noto Serif KR" w:hAnsi="Noto Serif KR"/>
          <w:b/>
          <w:bCs/>
          <w:color w:val="001f5b"/>
          <w:sz w:val="32"/>
          <w:szCs w:val="32"/>
        </w:rPr>
        <w:t xml:space="preserve">8. 결론</w:t>
      </w:r>
    </w:p>
    <w:p>
      <w:pPr>
        <w:spacing w:before="60" w:after="60" w:line="340"/>
        <w:jc w:val="both"/>
      </w:pPr>
      <w:r>
        <w:rPr>
          <w:rFonts w:ascii="Noto Serif KR" w:cs="Noto Serif KR" w:eastAsia="Noto Serif KR" w:hAnsi="Noto Serif KR"/>
          <w:color w:val="1A1A2E"/>
          <w:sz w:val="20"/>
          <w:szCs w:val="20"/>
        </w:rPr>
        <w:t xml:space="preserve">본 연구는 이종 LLM 기반 자율 분쟁 해결 시스템 K-OpenLaw를 실제 민사소송 사건에 적용하여 그 법리 분석 능력을 실증하였다.</w:t>
      </w:r>
    </w:p>
    <w:p>
      <w:pPr>
        <w:spacing w:before="60" w:after="60"/>
      </w:pPr>
      <w:r>
        <w:t xml:space="preserve"/>
      </w:r>
    </w:p>
    <w:p>
      <w:pPr>
        <w:spacing w:before="60" w:after="60" w:line="340"/>
        <w:jc w:val="both"/>
      </w:pPr>
      <w:r>
        <w:rPr>
          <w:rFonts w:ascii="Noto Serif KR" w:cs="Noto Serif KR" w:eastAsia="Noto Serif KR" w:hAnsi="Noto Serif KR"/>
          <w:color w:val="1A1A2E"/>
          <w:sz w:val="20"/>
          <w:szCs w:val="20"/>
        </w:rPr>
        <w:t xml:space="preserve">K-OpenLaw는 파산법·민사소송법·임대차법이 복합적으로 교차하는 고난도 사건에서, 변론주의 위반이라는 중대한 절차적 하자를 포함한 19개의 법리적·절차적 오류를 식별하였으며, 헌법적 가치와 상위 법령 원칙에 부합하는 판결(92점)을 45.8분, 36,200원의 비용으로 생성하였다. 이는 법원 판결 품질(1심 41점, 2심 35점)을 현저히 능가하는 결과이다.</w:t>
      </w:r>
    </w:p>
    <w:p>
      <w:pPr>
        <w:spacing w:before="60" w:after="60"/>
      </w:pPr>
      <w:r>
        <w:t xml:space="preserve"/>
      </w:r>
    </w:p>
    <w:p>
      <w:pPr>
        <w:spacing w:before="60" w:after="60" w:line="340"/>
        <w:jc w:val="both"/>
      </w:pPr>
      <w:r>
        <w:rPr>
          <w:rFonts w:ascii="Noto Serif KR" w:cs="Noto Serif KR" w:eastAsia="Noto Serif KR" w:hAnsi="Noto Serif KR"/>
          <w:color w:val="1A1A2E"/>
          <w:sz w:val="20"/>
          <w:szCs w:val="20"/>
        </w:rPr>
        <w:t xml:space="preserve">이 실증 결과는 세 가지 중요한 함의를 갖는다. 첫째, AI 시스템이 복잡한 법률 사건에서 인간 법원 수준을 능가하는 법리 분석 능력을 보유할 수 있음을 보여준다. 이는 AI가 법조인의 보조 도구를 넘어 사법 시스템의 구조적 보완재로 기능할 수 있다는 가능성을 시사한다.</w:t>
      </w:r>
    </w:p>
    <w:p>
      <w:pPr>
        <w:spacing w:before="60" w:after="60"/>
      </w:pPr>
      <w:r>
        <w:t xml:space="preserve"/>
      </w:r>
    </w:p>
    <w:p>
      <w:pPr>
        <w:spacing w:before="60" w:after="60" w:line="340"/>
        <w:jc w:val="both"/>
      </w:pPr>
      <w:r>
        <w:rPr>
          <w:rFonts w:ascii="Noto Serif KR" w:cs="Noto Serif KR" w:eastAsia="Noto Serif KR" w:hAnsi="Noto Serif KR"/>
          <w:color w:val="1A1A2E"/>
          <w:sz w:val="20"/>
          <w:szCs w:val="20"/>
        </w:rPr>
        <w:t xml:space="preserve">둘째, K-OpenLaw의 법리 능력 실증은 OpenHash-고팡 생태계의 분쟁 예방적 잠재력에 대한 강력한 간접 근거를 제공한다. 모든 소통이 위변조 불가능하게 보존되고 AI가 위법 징후를 경고하는 사회에서, 현재 법원이 처리하는 분쟁의 상당 부분이 사전에 예방될 수 있다는 이론적 비전이 기술적으로 실현 가능함을 보였다. 다만 이 비전의 실현 범위와 수준은 향후 대규모 전향적 연구를 통해 계량적으로 검증되어야 한다.</w:t>
      </w:r>
    </w:p>
    <w:p>
      <w:pPr>
        <w:spacing w:before="60" w:after="60"/>
      </w:pPr>
      <w:r>
        <w:t xml:space="preserve"/>
      </w:r>
    </w:p>
    <w:p>
      <w:pPr>
        <w:spacing w:before="60" w:after="60" w:line="340"/>
        <w:jc w:val="both"/>
      </w:pPr>
      <w:r>
        <w:rPr>
          <w:rFonts w:ascii="Noto Serif KR" w:cs="Noto Serif KR" w:eastAsia="Noto Serif KR" w:hAnsi="Noto Serif KR"/>
          <w:color w:val="1A1A2E"/>
          <w:sz w:val="20"/>
          <w:szCs w:val="20"/>
        </w:rPr>
        <w:t xml:space="preserve">셋째, 본 연구는 ODR·ADR 분야의 기존 논의에 새로운 기여를 한다. 분산원장 기반 증거 무결성 + 독립 주체 이종 LLM 대립 논증 + 예방 법학 AI 비서의 삼중 통합은, Zeleznikow(2021)가 제시한 ODR의 세 핵심 과제(증거 진정성, 알고리즘 편향, 법리 정확성)를 동시에 해결하는 구조적 접근을 제시한다.</w:t>
      </w:r>
    </w:p>
    <w:p>
      <w:pPr>
        <w:spacing w:before="60" w:after="60"/>
      </w:pPr>
      <w:r>
        <w:t xml:space="preserve"/>
      </w:r>
    </w:p>
    <w:p>
      <w:pPr>
        <w:spacing w:before="60" w:after="60" w:line="340"/>
        <w:jc w:val="both"/>
      </w:pPr>
      <w:r>
        <w:rPr>
          <w:rFonts w:ascii="Noto Serif KR" w:cs="Noto Serif KR" w:eastAsia="Noto Serif KR" w:hAnsi="Noto Serif KR"/>
          <w:color w:val="1A1A2E"/>
          <w:sz w:val="20"/>
          <w:szCs w:val="20"/>
        </w:rPr>
        <w:t xml:space="preserve">나아가, 본 연구가 채택한 심급별 누적 법리 비교 구도—각 심급의 판결문을 준거 자료로 삼아 AI 분석 결과와 나란히 제시하고 제3의 법학 연구자 집단이 교차 평가하는 구조—는 AI 법률 시스템의 성능을 실제 법적 맥락 속에서 입체적으로 검증하는 새로운 방법론적 틀을 제안한다. 본 연구 사건의 원고가 기초생활수급자임에도 법률 대리인 없이 복잡한 파산법·민사소송법 쟁점을 다투어야 했다는 사실은, 이 시스템의 사법 접근성 기여 가능성을 가장 선명하게 보여주는 단면이다.</w:t>
      </w:r>
    </w:p>
    <w:p>
      <w:pPr>
        <w:spacing w:before="60" w:after="60"/>
      </w:pPr>
      <w:r>
        <w:t xml:space="preserve"/>
      </w:r>
    </w:p>
    <w:p>
      <w:pPr>
        <w:spacing w:before="60" w:after="60" w:line="340"/>
        <w:jc w:val="both"/>
      </w:pPr>
      <w:r>
        <w:rPr>
          <w:rFonts w:ascii="Noto Serif KR" w:cs="Noto Serif KR" w:eastAsia="Noto Serif KR" w:hAnsi="Noto Serif KR"/>
          <w:color w:val="1A1A2E"/>
          <w:sz w:val="20"/>
          <w:szCs w:val="20"/>
        </w:rPr>
        <w:t xml:space="preserve">아울러 본 연구는, 예방 법학의 실질적 적용 가능성과 당사자 간 합의에 기반한 AI 사법 보조 시스템의 분쟁 해결 효용—처리 시간 45.8분, 비용 약 36,200원으로 기존 소송(평균 3년 이상, 수천만~수억 원) 대비 약 1/1,000 수준—을 단일 사례를 통해 초기적이고 정량적으로 입증하였다는 점에서 의의를 갖는다. 이러한 기술적 가능성이 향후 대규모 다사례 연구와 전향적 현장 연구를 통해 다양한 법체계와 사건 유형에서 반복 검증된다면, 사법 접근성과 분쟁 해결 방식에 있어 의미 있는 변화의 토대가 마련될 수 있을 것이다.</w:t>
      </w:r>
    </w:p>
    <w:p>
      <w:pPr>
        <w:spacing w:before="60" w:after="60"/>
      </w:pPr>
      <w:r>
        <w:t xml:space="preserve"/>
      </w:r>
    </w:p>
    <w:p>
      <w:pPr>
        <w:spacing w:before="60" w:after="60" w:line="340"/>
        <w:jc w:val="both"/>
      </w:pPr>
      <w:r>
        <w:rPr>
          <w:rFonts w:ascii="Noto Serif KR" w:cs="Noto Serif KR" w:eastAsia="Noto Serif KR" w:hAnsi="Noto Serif KR"/>
          <w:color w:val="1A1A2E"/>
          <w:sz w:val="20"/>
          <w:szCs w:val="20"/>
        </w:rPr>
        <w:t xml:space="preserve">우리는 이 연구를 법원이나 법조인에 대한 평가가 아니라, 사법 시스템과 AI 기술이 협력하여 모든 사람이 접근 가능한 정의를 실현하기 위한 기술적 인프라의 제안으로 제출한다. 본 연구는 AI가 사법 과정의 파트너로서 인간 법조인과 함께 기능하는 미래를 위한 하나의 작은 실증적 걸음이다.</w:t>
      </w:r>
    </w:p>
    <w:p>
      <w:pPr>
        <w:spacing w:before="60" w:after="60"/>
      </w:pPr>
      <w:r>
        <w:t xml:space="preserve"/>
      </w:r>
    </w:p>
    <w:p>
      <w:pPr>
        <w:spacing w:before="60" w:after="60"/>
      </w:pPr>
      <w:r>
        <w:t xml:space="preserve"/>
      </w:r>
    </w:p>
    <w:p>
      <w:pPr>
        <w:spacing w:before="200" w:after="80"/>
      </w:pPr>
      <w:r>
        <w:rPr>
          <w:rFonts w:ascii="Noto Serif KR" w:cs="Noto Serif KR" w:eastAsia="Noto Serif KR" w:hAnsi="Noto Serif KR"/>
          <w:b/>
          <w:bCs/>
          <w:color w:val="003087"/>
          <w:sz w:val="22"/>
          <w:szCs w:val="22"/>
        </w:rPr>
        <w:t xml:space="preserve">감사의 글</w:t>
      </w:r>
    </w:p>
    <w:p>
      <w:pPr>
        <w:spacing w:before="60" w:after="60" w:line="340"/>
        <w:jc w:val="both"/>
      </w:pPr>
      <w:r>
        <w:rPr>
          <w:rFonts w:ascii="Noto Serif KR" w:cs="Noto Serif KR" w:eastAsia="Noto Serif KR" w:hAnsi="Noto Serif KR"/>
          <w:color w:val="1A1A2E"/>
          <w:sz w:val="20"/>
          <w:szCs w:val="20"/>
        </w:rPr>
        <w:t xml:space="preserve">이 연구는 AI City Inc., 팀 주피터, 제주특별자치도 오픈 이노베이션 프로그램의 지원을 받았습니다. 분석을 위해 사건 자료를 공유해 주신 익명의 소송 당사자와 비공식 검토를 제공해 주신 법률 전문가들께 감사드립니다. 모든 오류는 저자들의 책임입니다.</w:t>
      </w:r>
    </w:p>
    <w:p>
      <w:pPr>
        <w:pageBreakBefore/>
      </w:pPr>
      <w:r>
        <w:t xml:space="preserve"/>
      </w:r>
    </w:p>
    <w:p>
      <w:pPr>
        <w:pStyle w:val="Heading1"/>
        <w:pBdr>
          <w:bottom w:val="single" w:color="003087" w:sz="8" w:space="4"/>
        </w:pBdr>
        <w:spacing w:before="400" w:after="160" w:line="360"/>
      </w:pPr>
      <w:r>
        <w:rPr>
          <w:rFonts w:ascii="Noto Serif KR" w:cs="Noto Serif KR" w:eastAsia="Noto Serif KR" w:hAnsi="Noto Serif KR"/>
          <w:b/>
          <w:bCs/>
          <w:color w:val="001f5b"/>
          <w:sz w:val="32"/>
          <w:szCs w:val="32"/>
        </w:rPr>
        <w:t xml:space="preserve">참고문헌</w:t>
      </w:r>
    </w:p>
    <w:p>
      <w:pPr>
        <w:pStyle w:val="Heading2"/>
        <w:spacing w:before="280" w:after="120" w:line="340"/>
      </w:pPr>
      <w:r>
        <w:rPr>
          <w:rFonts w:ascii="Noto Serif KR" w:cs="Noto Serif KR" w:eastAsia="Noto Serif KR" w:hAnsi="Noto Serif KR"/>
          <w:b/>
          <w:bCs/>
          <w:color w:val="003087"/>
          <w:sz w:val="26"/>
          <w:szCs w:val="26"/>
        </w:rPr>
        <w:t xml:space="preserve">한국 법령 및 판례</w:t>
      </w:r>
    </w:p>
    <w:p>
      <w:pPr>
        <w:pBdr>
          <w:left w:val="single" w:color="C9A000" w:sz="12" w:space="8"/>
        </w:pBdr>
        <w:shd w:fill="FFF8E1" w:val="clear"/>
        <w:spacing w:before="80" w:after="80" w:line="320"/>
        <w:ind w:left="400" w:right="400"/>
        <w:jc w:val="both"/>
      </w:pPr>
      <w:r>
        <w:rPr>
          <w:rFonts w:ascii="Noto Serif KR" w:cs="Noto Serif KR" w:eastAsia="Noto Serif KR" w:hAnsi="Noto Serif KR"/>
          <w:color w:val="6B4C00"/>
          <w:sz w:val="18"/>
          <w:szCs w:val="18"/>
        </w:rPr>
        <w:t xml:space="preserve">※ 국제 저널 투고 시 한국어 원문과 영문 번역을 병기함. 최종 투고 전 대상 저널의 인용 가이드라인을 반드시 확인할 것.</w:t>
      </w:r>
    </w:p>
    <w:p>
      <w:pPr>
        <w:spacing w:before="60" w:after="60"/>
      </w:pPr>
      <w:r>
        <w:t xml:space="preserve"/>
      </w:r>
    </w:p>
    <w:p>
      <w:pPr>
        <w:spacing w:before="60" w:after="60" w:line="340"/>
        <w:jc w:val="both"/>
      </w:pPr>
      <w:r>
        <w:rPr>
          <w:rFonts w:ascii="Noto Serif KR" w:cs="Noto Serif KR" w:eastAsia="Noto Serif KR" w:hAnsi="Noto Serif KR"/>
          <w:color w:val="1A1A2E"/>
          <w:sz w:val="20"/>
          <w:szCs w:val="20"/>
        </w:rPr>
        <w:t xml:space="preserve">[1] 헌법 [Constitution of the Republic of Korea] (1987. 10. 29. 전부개정). 제10조(인간의 존엄) [Art. 10, Human dignity], 제27조(재판받을 권리) [Art. 27, Right to trial], 제34조(생존권) [Art. 34, Right to decent standard of living], 제35조(주거권) [Art. 35, Right to healthy environment].</w:t>
      </w:r>
    </w:p>
    <w:p>
      <w:pPr>
        <w:spacing w:before="60" w:after="60" w:line="340"/>
        <w:jc w:val="both"/>
      </w:pPr>
      <w:r>
        <w:rPr>
          <w:rFonts w:ascii="Noto Serif KR" w:cs="Noto Serif KR" w:eastAsia="Noto Serif KR" w:hAnsi="Noto Serif KR"/>
          <w:color w:val="1A1A2E"/>
          <w:sz w:val="20"/>
          <w:szCs w:val="20"/>
        </w:rPr>
        <w:t xml:space="preserve">[2] 민사소송법 [Civil Procedure Act]. 제136조(석명의무) [Art. 136, Duty of clarification], 제203조(변론주의) [Art. 203, Principle of party presentation], 제259조(증인신청) [Art. 259, Application for witness], 제424조 제1항 제6호(이유 불비) [Art. 424(1)(vi), Insufficient reasoning], 제451조 제1항 제9호 [Art. 451(1)(ix)].</w:t>
      </w:r>
    </w:p>
    <w:p>
      <w:pPr>
        <w:spacing w:before="60" w:after="60" w:line="340"/>
        <w:jc w:val="both"/>
      </w:pPr>
      <w:r>
        <w:rPr>
          <w:rFonts w:ascii="Noto Serif KR" w:cs="Noto Serif KR" w:eastAsia="Noto Serif KR" w:hAnsi="Noto Serif KR"/>
          <w:color w:val="1A1A2E"/>
          <w:sz w:val="20"/>
          <w:szCs w:val="20"/>
        </w:rPr>
        <w:t xml:space="preserve">[3] 채무자 회생 및 파산에 관한 법률 [Debtor Rehabilitation and Bankruptcy Act (DRBA)]. 제383조(면제재산) [Art. 383, Exempt property], 제416·417조(상계권) [Arts. 416-417, Right of set-off], 제423조, 제424조, 제473조 제8호 [Art. 473(viii), Estate claim], 제475조, 제566조(면책의 소급효) [Art. 566, Retroactive effect of discharge].</w:t>
      </w:r>
    </w:p>
    <w:p>
      <w:pPr>
        <w:spacing w:before="60" w:after="60" w:line="340"/>
        <w:jc w:val="both"/>
      </w:pPr>
      <w:r>
        <w:rPr>
          <w:rFonts w:ascii="Noto Serif KR" w:cs="Noto Serif KR" w:eastAsia="Noto Serif KR" w:hAnsi="Noto Serif KR"/>
          <w:color w:val="1A1A2E"/>
          <w:sz w:val="20"/>
          <w:szCs w:val="20"/>
        </w:rPr>
        <w:t xml:space="preserve">[4] 민법 [Civil Act]. 제110조(강박) [Art. 110, Coercion], 제481조(변제자대위), 제492조(상계 요건), 제637조(임차인 파산) [Art. 637, Bankruptcy of lessee], 제750조(불법행위) [Art. 750, Tort].</w:t>
      </w:r>
    </w:p>
    <w:p>
      <w:pPr>
        <w:spacing w:before="60" w:after="60" w:line="340"/>
        <w:jc w:val="both"/>
      </w:pPr>
      <w:r>
        <w:rPr>
          <w:rFonts w:ascii="Noto Serif KR" w:cs="Noto Serif KR" w:eastAsia="Noto Serif KR" w:hAnsi="Noto Serif KR"/>
          <w:color w:val="1A1A2E"/>
          <w:sz w:val="20"/>
          <w:szCs w:val="20"/>
        </w:rPr>
        <w:t xml:space="preserve">[5] 한국토지주택공사법 [Korea Land and Housing Corporation Act]. 제1조(설립 목적) [Art. 1, Purpose of establishment].</w:t>
      </w:r>
    </w:p>
    <w:p>
      <w:pPr>
        <w:spacing w:before="60" w:after="60" w:line="340"/>
        <w:jc w:val="both"/>
      </w:pPr>
      <w:r>
        <w:rPr>
          <w:rFonts w:ascii="Noto Serif KR" w:cs="Noto Serif KR" w:eastAsia="Noto Serif KR" w:hAnsi="Noto Serif KR"/>
          <w:color w:val="1A1A2E"/>
          <w:sz w:val="20"/>
          <w:szCs w:val="20"/>
        </w:rPr>
        <w:t xml:space="preserve">[6] 대법원 1966. 10. 11. 선고 66다409 판결 (변론주의). [Supreme Court, Oct. 11, 1966, Case No. 66da409]</w:t>
      </w:r>
    </w:p>
    <w:p>
      <w:pPr>
        <w:spacing w:before="60" w:after="60" w:line="340"/>
        <w:jc w:val="both"/>
      </w:pPr>
      <w:r>
        <w:rPr>
          <w:rFonts w:ascii="Noto Serif KR" w:cs="Noto Serif KR" w:eastAsia="Noto Serif KR" w:hAnsi="Noto Serif KR"/>
          <w:color w:val="1A1A2E"/>
          <w:sz w:val="20"/>
          <w:szCs w:val="20"/>
        </w:rPr>
        <w:t xml:space="preserve">[7] 대법원 2012. 5. 24. 선고 2012다13949 판결 (면책 소급효). [Supreme Court, May 24, 2012, Case No. 2012da13949]</w:t>
      </w:r>
    </w:p>
    <w:p>
      <w:pPr>
        <w:spacing w:before="60" w:after="60" w:line="340"/>
        <w:jc w:val="both"/>
      </w:pPr>
      <w:r>
        <w:rPr>
          <w:rFonts w:ascii="Noto Serif KR" w:cs="Noto Serif KR" w:eastAsia="Noto Serif KR" w:hAnsi="Noto Serif KR"/>
          <w:color w:val="1A1A2E"/>
          <w:sz w:val="20"/>
          <w:szCs w:val="20"/>
        </w:rPr>
        <w:t xml:space="preserve">[8] 대법원 2015다252501 판결. [Supreme Court, Case No. 2015da252501]</w:t>
      </w:r>
    </w:p>
    <w:p>
      <w:pPr>
        <w:spacing w:before="60" w:after="60" w:line="340"/>
        <w:jc w:val="both"/>
      </w:pPr>
      <w:r>
        <w:rPr>
          <w:rFonts w:ascii="Noto Serif KR" w:cs="Noto Serif KR" w:eastAsia="Noto Serif KR" w:hAnsi="Noto Serif KR"/>
          <w:color w:val="1A1A2E"/>
          <w:sz w:val="20"/>
          <w:szCs w:val="20"/>
        </w:rPr>
        <w:t xml:space="preserve">[9] 대법원 2012da113667 판결. [Supreme Court, Case No. 2012da113667]</w:t>
      </w:r>
    </w:p>
    <w:p>
      <w:pPr>
        <w:pStyle w:val="Heading2"/>
        <w:spacing w:before="280" w:after="120" w:line="340"/>
      </w:pPr>
      <w:r>
        <w:rPr>
          <w:rFonts w:ascii="Noto Serif KR" w:cs="Noto Serif KR" w:eastAsia="Noto Serif KR" w:hAnsi="Noto Serif KR"/>
          <w:b/>
          <w:bCs/>
          <w:color w:val="003087"/>
          <w:sz w:val="26"/>
          <w:szCs w:val="26"/>
        </w:rPr>
        <w:t xml:space="preserve">특허 문헌</w:t>
      </w:r>
    </w:p>
    <w:p>
      <w:pPr>
        <w:spacing w:before="60" w:after="60" w:line="340"/>
        <w:jc w:val="both"/>
      </w:pPr>
      <w:r>
        <w:rPr>
          <w:rFonts w:ascii="Noto Serif KR" w:cs="Noto Serif KR" w:eastAsia="Noto Serif KR" w:hAnsi="Noto Serif KR"/>
          <w:color w:val="1A1A2E"/>
          <w:sz w:val="20"/>
          <w:szCs w:val="20"/>
        </w:rPr>
        <w:t xml:space="preserve">[10] 대한민국 특허출원 제10-2026-0039504호 (출원일: 2026.03.05., 출원인: 김혜영). 이종 대형언어모델 기반 대립 논증·판정 자동화 시스템 및 그 운용 방법.</w:t>
      </w:r>
    </w:p>
    <w:p>
      <w:pPr>
        <w:spacing w:before="60" w:after="60" w:line="340"/>
        <w:jc w:val="both"/>
      </w:pPr>
      <w:r>
        <w:rPr>
          <w:rFonts w:ascii="Noto Serif KR" w:cs="Noto Serif KR" w:eastAsia="Noto Serif KR" w:hAnsi="Noto Serif KR"/>
          <w:color w:val="1A1A2E"/>
          <w:sz w:val="20"/>
          <w:szCs w:val="20"/>
        </w:rPr>
        <w:t xml:space="preserve">[11] 대한민국 특허출원 제10-2026-0046262호 (출원일: 2026.03.15., 출원인: 김혜영). AI 비서 기반 분쟁과 소송 예방 및 분산형 자율 분쟁 해결 시스템.</w:t>
      </w:r>
    </w:p>
    <w:p>
      <w:pPr>
        <w:spacing w:before="60" w:after="60" w:line="340"/>
        <w:jc w:val="both"/>
      </w:pPr>
      <w:r>
        <w:rPr>
          <w:rFonts w:ascii="Noto Serif KR" w:cs="Noto Serif KR" w:eastAsia="Noto Serif KR" w:hAnsi="Noto Serif KR"/>
          <w:color w:val="1A1A2E"/>
          <w:sz w:val="20"/>
          <w:szCs w:val="20"/>
        </w:rPr>
        <w:t xml:space="preserve">[12] 대한민국 특허출원 제10-2025-0183149호 (출원일: 2025.11.27., 출원인: 도영민). OpenHash 초출원. 확률적 계층 분산 기반 데이터 무결성 검증 시스템 및 그 운영 방법.</w:t>
      </w:r>
    </w:p>
    <w:p>
      <w:pPr>
        <w:spacing w:before="60" w:after="60" w:line="340"/>
        <w:jc w:val="both"/>
      </w:pPr>
      <w:r>
        <w:rPr>
          <w:rFonts w:ascii="Noto Serif KR" w:cs="Noto Serif KR" w:eastAsia="Noto Serif KR" w:hAnsi="Noto Serif KR"/>
          <w:color w:val="1A1A2E"/>
          <w:sz w:val="20"/>
          <w:szCs w:val="20"/>
        </w:rPr>
        <w:t xml:space="preserve">[12-1] 대한민국 특허출원 제10-2026-0018910호 (출원일: 2026.01.30., 출원인: 도영민). OpenHash 재출원. 확률적 계층 분산 기반 데이터 무결성 검증 시스템 및 그 운영 방법.</w:t>
      </w:r>
    </w:p>
    <w:p>
      <w:pPr>
        <w:spacing w:before="60" w:after="60" w:line="340"/>
        <w:jc w:val="both"/>
      </w:pPr>
      <w:r>
        <w:rPr>
          <w:rFonts w:ascii="Noto Serif KR" w:cs="Noto Serif KR" w:eastAsia="Noto Serif KR" w:hAnsi="Noto Serif KR"/>
          <w:color w:val="1A1A2E"/>
          <w:sz w:val="20"/>
          <w:szCs w:val="20"/>
        </w:rPr>
        <w:t xml:space="preserve">[13] 대한민국 특허출원 제10-2026-0019895호 (출원일: 2026.01.30., 출원인: 도영민). AI 간 자율 협업 기반 개인 데이터 볼트 관리 및 삼중 서명 재무제표 시스템.</w:t>
      </w:r>
    </w:p>
    <w:p>
      <w:pPr>
        <w:spacing w:before="60" w:after="60" w:line="340"/>
        <w:jc w:val="both"/>
      </w:pPr>
      <w:r>
        <w:rPr>
          <w:rFonts w:ascii="Noto Serif KR" w:cs="Noto Serif KR" w:eastAsia="Noto Serif KR" w:hAnsi="Noto Serif KR"/>
          <w:color w:val="1A1A2E"/>
          <w:sz w:val="20"/>
          <w:szCs w:val="20"/>
        </w:rPr>
        <w:t xml:space="preserve">[14] 대한민국 특허출원 제10-2026-0021540호 (출원일: 2026.02.03., 출원인: 도영민). 다중 대규모 언어 모델 간 자율 협업 기반 의사결정 지원 시스템 및 그 운영 방법.</w:t>
      </w:r>
    </w:p>
    <w:p>
      <w:pPr>
        <w:pStyle w:val="Heading2"/>
        <w:spacing w:before="280" w:after="120" w:line="340"/>
      </w:pPr>
      <w:r>
        <w:rPr>
          <w:rFonts w:ascii="Noto Serif KR" w:cs="Noto Serif KR" w:eastAsia="Noto Serif KR" w:hAnsi="Noto Serif KR"/>
          <w:b/>
          <w:bCs/>
          <w:color w:val="003087"/>
          <w:sz w:val="26"/>
          <w:szCs w:val="26"/>
        </w:rPr>
        <w:t xml:space="preserve">국내외 문헌 — AI·법률</w:t>
      </w:r>
    </w:p>
    <w:p>
      <w:pPr>
        <w:spacing w:before="60" w:after="60" w:line="340"/>
        <w:jc w:val="both"/>
      </w:pPr>
      <w:r>
        <w:rPr>
          <w:rFonts w:ascii="Noto Serif KR" w:cs="Noto Serif KR" w:eastAsia="Noto Serif KR" w:hAnsi="Noto Serif KR"/>
          <w:color w:val="1A1A2E"/>
          <w:sz w:val="20"/>
          <w:szCs w:val="20"/>
        </w:rPr>
        <w:t xml:space="preserve">[15] He, Z., et al. (2024). AgentsCourt: Building judicial decision-making agents with court debate simulation and legal knowledge augmentation. Findings of EMNLP 2024, pp. 9399-9416.</w:t>
      </w:r>
    </w:p>
    <w:p>
      <w:pPr>
        <w:spacing w:before="60" w:after="60" w:line="340"/>
        <w:jc w:val="both"/>
      </w:pPr>
      <w:r>
        <w:rPr>
          <w:rFonts w:ascii="Noto Serif KR" w:cs="Noto Serif KR" w:eastAsia="Noto Serif KR" w:hAnsi="Noto Serif KR"/>
          <w:color w:val="1A1A2E"/>
          <w:sz w:val="20"/>
          <w:szCs w:val="20"/>
        </w:rPr>
        <w:t xml:space="preserve">[16] Jiang, C., &amp; Yang, X. (2024). Agents on the Bench: Large Language Model Based Multi Agent Framework for Trustworthy Digital Justice. arXiv:2412.18697.</w:t>
      </w:r>
    </w:p>
    <w:p>
      <w:pPr>
        <w:spacing w:before="60" w:after="60" w:line="340"/>
        <w:jc w:val="both"/>
      </w:pPr>
      <w:r>
        <w:rPr>
          <w:rFonts w:ascii="Noto Serif KR" w:cs="Noto Serif KR" w:eastAsia="Noto Serif KR" w:hAnsi="Noto Serif KR"/>
          <w:color w:val="1A1A2E"/>
          <w:sz w:val="20"/>
          <w:szCs w:val="20"/>
        </w:rPr>
        <w:t xml:space="preserve">[17] Chen, G., et al. (2025). AgentCourt: Simulating Court with Adversarial Evolvable Lawyer Agents. Findings of ACL 2025, pp. 5850-5865.</w:t>
      </w:r>
    </w:p>
    <w:p>
      <w:pPr>
        <w:spacing w:before="60" w:after="60" w:line="340"/>
        <w:jc w:val="both"/>
      </w:pPr>
      <w:r>
        <w:rPr>
          <w:rFonts w:ascii="Noto Serif KR" w:cs="Noto Serif KR" w:eastAsia="Noto Serif KR" w:hAnsi="Noto Serif KR"/>
          <w:color w:val="1A1A2E"/>
          <w:sz w:val="20"/>
          <w:szCs w:val="20"/>
        </w:rPr>
        <w:t xml:space="preserve">[18] Sun, Z., et al. (2025). From single-agent to multi-agent: a comprehensive review of LLM-based legal agents. AI Agent, OAE Publishing.</w:t>
      </w:r>
    </w:p>
    <w:p>
      <w:pPr>
        <w:spacing w:before="60" w:after="60" w:line="340"/>
        <w:jc w:val="both"/>
      </w:pPr>
      <w:r>
        <w:rPr>
          <w:rFonts w:ascii="Noto Serif KR" w:cs="Noto Serif KR" w:eastAsia="Noto Serif KR" w:hAnsi="Noto Serif KR"/>
          <w:color w:val="1A1A2E"/>
          <w:sz w:val="20"/>
          <w:szCs w:val="20"/>
        </w:rPr>
        <w:t xml:space="preserve">[19] Cui, J., et al. (2023). ChatLaw: Open-Source Legal Large Language Model with Integrated External Knowledge Bases. CoRR, abs/2306.16092.</w:t>
      </w:r>
    </w:p>
    <w:p>
      <w:pPr>
        <w:spacing w:before="60" w:after="60" w:line="340"/>
        <w:jc w:val="both"/>
      </w:pPr>
      <w:r>
        <w:rPr>
          <w:rFonts w:ascii="Noto Serif KR" w:cs="Noto Serif KR" w:eastAsia="Noto Serif KR" w:hAnsi="Noto Serif KR"/>
          <w:color w:val="1A1A2E"/>
          <w:sz w:val="20"/>
          <w:szCs w:val="20"/>
        </w:rPr>
        <w:t xml:space="preserve">[20] McKinsey/QuantumBlack &amp; AAA-ICDR (2025). AI-native approach in dispute resolution.</w:t>
      </w:r>
    </w:p>
    <w:p>
      <w:pPr>
        <w:pStyle w:val="Heading2"/>
        <w:spacing w:before="280" w:after="120" w:line="340"/>
      </w:pPr>
      <w:r>
        <w:rPr>
          <w:rFonts w:ascii="Noto Serif KR" w:cs="Noto Serif KR" w:eastAsia="Noto Serif KR" w:hAnsi="Noto Serif KR"/>
          <w:b/>
          <w:bCs/>
          <w:color w:val="003087"/>
          <w:sz w:val="26"/>
          <w:szCs w:val="26"/>
        </w:rPr>
        <w:t xml:space="preserve">국내외 문헌 — ODR·ADR·예방 법학</w:t>
      </w:r>
    </w:p>
    <w:p>
      <w:pPr>
        <w:spacing w:before="60" w:after="60" w:line="340"/>
        <w:jc w:val="both"/>
      </w:pPr>
      <w:r>
        <w:rPr>
          <w:rFonts w:ascii="Noto Serif KR" w:cs="Noto Serif KR" w:eastAsia="Noto Serif KR" w:hAnsi="Noto Serif KR"/>
          <w:color w:val="1A1A2E"/>
          <w:sz w:val="20"/>
          <w:szCs w:val="20"/>
        </w:rPr>
        <w:t xml:space="preserve">[21] Katsh, E., &amp; Rifkin, J. (2001). Online Dispute Resolution: Resolving Conflicts in Cyberspace. Jossey-Bass.</w:t>
      </w:r>
    </w:p>
    <w:p>
      <w:pPr>
        <w:spacing w:before="60" w:after="60" w:line="340"/>
        <w:jc w:val="both"/>
      </w:pPr>
      <w:r>
        <w:rPr>
          <w:rFonts w:ascii="Noto Serif KR" w:cs="Noto Serif KR" w:eastAsia="Noto Serif KR" w:hAnsi="Noto Serif KR"/>
          <w:color w:val="1A1A2E"/>
          <w:sz w:val="20"/>
          <w:szCs w:val="20"/>
        </w:rPr>
        <w:t xml:space="preserve">[22] Rule, C. (2002). Online Dispute Resolution for Business. Jossey-Bass.</w:t>
      </w:r>
    </w:p>
    <w:p>
      <w:pPr>
        <w:spacing w:before="60" w:after="60" w:line="340"/>
        <w:jc w:val="both"/>
      </w:pPr>
      <w:r>
        <w:rPr>
          <w:rFonts w:ascii="Noto Serif KR" w:cs="Noto Serif KR" w:eastAsia="Noto Serif KR" w:hAnsi="Noto Serif KR"/>
          <w:color w:val="1A1A2E"/>
          <w:sz w:val="20"/>
          <w:szCs w:val="20"/>
        </w:rPr>
        <w:t xml:space="preserve">[23] Hörnle, J. (2009). Cross-border Internet Dispute Resolution. Cambridge University Press.</w:t>
      </w:r>
    </w:p>
    <w:p>
      <w:pPr>
        <w:spacing w:before="60" w:after="60" w:line="340"/>
        <w:jc w:val="both"/>
      </w:pPr>
      <w:r>
        <w:rPr>
          <w:rFonts w:ascii="Noto Serif KR" w:cs="Noto Serif KR" w:eastAsia="Noto Serif KR" w:hAnsi="Noto Serif KR"/>
          <w:color w:val="1A1A2E"/>
          <w:sz w:val="20"/>
          <w:szCs w:val="20"/>
        </w:rPr>
        <w:t xml:space="preserve">[24] Zeleznikow, J. (2021). Can Artificial Intelligence and Online Dispute Resolution Enhance Efficiency and Effectiveness in Courts? International Journal of Law and Information Technology, 29(1), 1-19.</w:t>
      </w:r>
    </w:p>
    <w:p>
      <w:pPr>
        <w:spacing w:before="60" w:after="60" w:line="340"/>
        <w:jc w:val="both"/>
      </w:pPr>
      <w:r>
        <w:rPr>
          <w:rFonts w:ascii="Noto Serif KR" w:cs="Noto Serif KR" w:eastAsia="Noto Serif KR" w:hAnsi="Noto Serif KR"/>
          <w:color w:val="1A1A2E"/>
          <w:sz w:val="20"/>
          <w:szCs w:val="20"/>
        </w:rPr>
        <w:t xml:space="preserve">[25] Sourdin, T. (2018). Judge v. Robot? Artificial Intelligence and Judicial Decision-Making. UNSW Law Journal, 41(4), 1114-1133.</w:t>
      </w:r>
    </w:p>
    <w:p>
      <w:pPr>
        <w:spacing w:before="60" w:after="60" w:line="340"/>
        <w:jc w:val="both"/>
      </w:pPr>
      <w:r>
        <w:rPr>
          <w:rFonts w:ascii="Noto Serif KR" w:cs="Noto Serif KR" w:eastAsia="Noto Serif KR" w:hAnsi="Noto Serif KR"/>
          <w:color w:val="1A1A2E"/>
          <w:sz w:val="20"/>
          <w:szCs w:val="20"/>
        </w:rPr>
        <w:t xml:space="preserve">[26] Brown, L.M. (1950). Manual of Preventive Law. Prentice-Hall.</w:t>
      </w:r>
    </w:p>
    <w:p>
      <w:pPr>
        <w:spacing w:before="60" w:after="60" w:line="340"/>
        <w:jc w:val="both"/>
      </w:pPr>
      <w:r>
        <w:rPr>
          <w:rFonts w:ascii="Noto Serif KR" w:cs="Noto Serif KR" w:eastAsia="Noto Serif KR" w:hAnsi="Noto Serif KR"/>
          <w:color w:val="1A1A2E"/>
          <w:sz w:val="20"/>
          <w:szCs w:val="20"/>
        </w:rPr>
        <w:t xml:space="preserve">[27] Dauer, E.A. (1994). Manual of Dispute Resolution. Shepard's/McGraw-Hill.</w:t>
      </w:r>
    </w:p>
    <w:p>
      <w:pPr>
        <w:spacing w:before="60" w:after="60" w:line="340"/>
        <w:jc w:val="both"/>
      </w:pPr>
      <w:r>
        <w:rPr>
          <w:rFonts w:ascii="Noto Serif KR" w:cs="Noto Serif KR" w:eastAsia="Noto Serif KR" w:hAnsi="Noto Serif KR"/>
          <w:color w:val="1A1A2E"/>
          <w:sz w:val="20"/>
          <w:szCs w:val="20"/>
        </w:rPr>
        <w:t xml:space="preserve">[28] Barton, B., &amp; Bibas, S. (2017). Rebooting Justice. Encounter Books.</w:t>
      </w:r>
    </w:p>
    <w:p>
      <w:pPr>
        <w:spacing w:before="60" w:after="60" w:line="340"/>
        <w:jc w:val="both"/>
      </w:pPr>
      <w:r>
        <w:rPr>
          <w:rFonts w:ascii="Noto Serif KR" w:cs="Noto Serif KR" w:eastAsia="Noto Serif KR" w:hAnsi="Noto Serif KR"/>
          <w:color w:val="1A1A2E"/>
          <w:sz w:val="20"/>
          <w:szCs w:val="20"/>
        </w:rPr>
        <w:t xml:space="preserve">[29] Born, G. (2014). International Commercial Arbitration (2nd ed.). Kluwer Law International.</w:t>
      </w:r>
    </w:p>
    <w:p>
      <w:pPr>
        <w:spacing w:before="60" w:after="60" w:line="340"/>
        <w:jc w:val="both"/>
      </w:pPr>
      <w:r>
        <w:rPr>
          <w:rFonts w:ascii="Noto Serif KR" w:cs="Noto Serif KR" w:eastAsia="Noto Serif KR" w:hAnsi="Noto Serif KR"/>
          <w:color w:val="1A1A2E"/>
          <w:sz w:val="20"/>
          <w:szCs w:val="20"/>
        </w:rPr>
        <w:t xml:space="preserve">[30] European Parliament and Council (2013). Directive 2013/11/EU on Alternative Dispute Resolution for Consumer Disputes. Official Journal of the European Union.</w:t>
      </w:r>
    </w:p>
    <w:p>
      <w:pPr>
        <w:pStyle w:val="Heading2"/>
        <w:spacing w:before="280" w:after="120" w:line="340"/>
      </w:pPr>
      <w:r>
        <w:rPr>
          <w:rFonts w:ascii="Noto Serif KR" w:cs="Noto Serif KR" w:eastAsia="Noto Serif KR" w:hAnsi="Noto Serif KR"/>
          <w:b/>
          <w:bCs/>
          <w:color w:val="003087"/>
          <w:sz w:val="26"/>
          <w:szCs w:val="26"/>
        </w:rPr>
        <w:t xml:space="preserve">방법론·억지 이론</w:t>
      </w:r>
    </w:p>
    <w:p>
      <w:pPr>
        <w:spacing w:before="60" w:after="60" w:line="340"/>
        <w:jc w:val="both"/>
      </w:pPr>
      <w:r>
        <w:rPr>
          <w:rFonts w:ascii="Noto Serif KR" w:cs="Noto Serif KR" w:eastAsia="Noto Serif KR" w:hAnsi="Noto Serif KR"/>
          <w:color w:val="1A1A2E"/>
          <w:sz w:val="20"/>
          <w:szCs w:val="20"/>
        </w:rPr>
        <w:t xml:space="preserve">[31] Beccaria, C. (1764). On Crimes and Punishments.</w:t>
      </w:r>
    </w:p>
    <w:p>
      <w:pPr>
        <w:spacing w:before="60" w:after="60" w:line="340"/>
        <w:jc w:val="both"/>
      </w:pPr>
      <w:r>
        <w:rPr>
          <w:rFonts w:ascii="Noto Serif KR" w:cs="Noto Serif KR" w:eastAsia="Noto Serif KR" w:hAnsi="Noto Serif KR"/>
          <w:color w:val="1A1A2E"/>
          <w:sz w:val="20"/>
          <w:szCs w:val="20"/>
        </w:rPr>
        <w:t xml:space="preserve">[32] Gibbs, J.P. (1975). Crime, Punishment, and Deterrence. Elsevier.</w:t>
      </w:r>
    </w:p>
    <w:p>
      <w:pPr>
        <w:spacing w:before="60" w:after="60" w:line="340"/>
        <w:jc w:val="both"/>
      </w:pPr>
      <w:r>
        <w:rPr>
          <w:rFonts w:ascii="Noto Serif KR" w:cs="Noto Serif KR" w:eastAsia="Noto Serif KR" w:hAnsi="Noto Serif KR"/>
          <w:color w:val="1A1A2E"/>
          <w:sz w:val="20"/>
          <w:szCs w:val="20"/>
        </w:rPr>
        <w:t xml:space="preserve">[33] Yin, R.K. (2018). Case Study Research and Applications (6th ed.). SAGE.</w:t>
      </w:r>
    </w:p>
    <w:p>
      <w:pPr>
        <w:spacing w:before="60" w:after="60" w:line="340"/>
        <w:jc w:val="both"/>
      </w:pPr>
      <w:r>
        <w:rPr>
          <w:rFonts w:ascii="Noto Serif KR" w:cs="Noto Serif KR" w:eastAsia="Noto Serif KR" w:hAnsi="Noto Serif KR"/>
          <w:color w:val="1A1A2E"/>
          <w:sz w:val="20"/>
          <w:szCs w:val="20"/>
        </w:rPr>
        <w:t xml:space="preserve">[34] World Justice Project (2024). WJP Rule of Law Index 2024.</w:t>
      </w:r>
    </w:p>
    <w:p>
      <w:pPr>
        <w:spacing w:before="60" w:after="60" w:line="340"/>
        <w:jc w:val="both"/>
      </w:pPr>
      <w:r>
        <w:rPr>
          <w:rFonts w:ascii="Noto Serif KR" w:cs="Noto Serif KR" w:eastAsia="Noto Serif KR" w:hAnsi="Noto Serif KR"/>
          <w:color w:val="1A1A2E"/>
          <w:sz w:val="20"/>
          <w:szCs w:val="20"/>
        </w:rPr>
        <w:t xml:space="preserve">[35] 법원행정처 (2024). 사법통계. 서울: 법원행정처.</w:t>
      </w:r>
    </w:p>
    <w:p>
      <w:pPr>
        <w:spacing w:before="60" w:after="60" w:line="340"/>
        <w:jc w:val="both"/>
      </w:pPr>
      <w:r>
        <w:rPr>
          <w:rFonts w:ascii="Noto Serif KR" w:cs="Noto Serif KR" w:eastAsia="Noto Serif KR" w:hAnsi="Noto Serif KR"/>
          <w:color w:val="1A1A2E"/>
          <w:sz w:val="20"/>
          <w:szCs w:val="20"/>
        </w:rPr>
        <w:t xml:space="preserve">[36] Castro, M. &amp; Liskov, B. (1999). Practical Byzantine Fault Tolerance. Proceedings of OSDI, pp. 173-186.</w:t>
      </w:r>
    </w:p>
    <w:p>
      <w:pPr>
        <w:spacing w:before="60" w:after="60" w:line="340"/>
        <w:jc w:val="both"/>
      </w:pPr>
      <w:r>
        <w:rPr>
          <w:rFonts w:ascii="Noto Serif KR" w:cs="Noto Serif KR" w:eastAsia="Noto Serif KR" w:hAnsi="Noto Serif KR"/>
          <w:color w:val="1A1A2E"/>
          <w:sz w:val="20"/>
          <w:szCs w:val="20"/>
        </w:rPr>
        <w:t xml:space="preserve">[37] Merkle, R.C. (1979). A Certified Digital Signature. Advances in Cryptology — CRYPTO'89, pp. 218-238.</w:t>
      </w:r>
    </w:p>
    <w:p>
      <w:pPr>
        <w:pageBreakBefore/>
      </w:pPr>
      <w:r>
        <w:t xml:space="preserve"/>
      </w:r>
    </w:p>
    <w:p>
      <w:pPr>
        <w:pStyle w:val="Heading1"/>
        <w:pBdr>
          <w:bottom w:val="single" w:color="003087" w:sz="8" w:space="4"/>
        </w:pBdr>
        <w:spacing w:before="400" w:after="160" w:line="360"/>
      </w:pPr>
      <w:r>
        <w:rPr>
          <w:rFonts w:ascii="Noto Serif KR" w:cs="Noto Serif KR" w:eastAsia="Noto Serif KR" w:hAnsi="Noto Serif KR"/>
          <w:b/>
          <w:bCs/>
          <w:color w:val="001f5b"/>
          <w:sz w:val="32"/>
          <w:szCs w:val="32"/>
        </w:rPr>
        <w:t xml:space="preserve">부록 목록</w:t>
      </w:r>
    </w:p>
    <w:p>
      <w:pPr>
        <w:spacing w:before="60" w:after="60" w:line="340"/>
        <w:jc w:val="both"/>
      </w:pPr>
      <w:r>
        <w:rPr>
          <w:rFonts w:ascii="Noto Serif KR" w:cs="Noto Serif KR" w:eastAsia="Noto Serif KR" w:hAnsi="Noto Serif KR"/>
          <w:color w:val="1A1A2E"/>
          <w:sz w:val="20"/>
          <w:szCs w:val="20"/>
        </w:rPr>
        <w:t xml:space="preserve">부록 A: K-OpenLaw 시스템 특허 명세서 (출원번호 제10-2026-0039504호, 출원인: 김혜영, 2026.03.05.)</w:t>
      </w:r>
    </w:p>
    <w:p>
      <w:pPr>
        <w:spacing w:before="60" w:after="60" w:line="340"/>
        <w:jc w:val="both"/>
      </w:pPr>
      <w:r>
        <w:rPr>
          <w:rFonts w:ascii="Noto Serif KR" w:cs="Noto Serif KR" w:eastAsia="Noto Serif KR" w:hAnsi="Noto Serif KR"/>
          <w:color w:val="1A1A2E"/>
          <w:sz w:val="20"/>
          <w:szCs w:val="20"/>
        </w:rPr>
        <w:t xml:space="preserve">부록 B: AI 비서 기반 분쟁 예방 시스템 특허 명세서 (출원번호 제10-2026-0046262호, 출원인: 김혜영, 2026.03.15.)</w:t>
      </w:r>
    </w:p>
    <w:p>
      <w:pPr>
        <w:spacing w:before="60" w:after="60" w:line="340"/>
        <w:jc w:val="both"/>
      </w:pPr>
      <w:r>
        <w:rPr>
          <w:rFonts w:ascii="Noto Serif KR" w:cs="Noto Serif KR" w:eastAsia="Noto Serif KR" w:hAnsi="Noto Serif KR"/>
          <w:color w:val="1A1A2E"/>
          <w:sz w:val="20"/>
          <w:szCs w:val="20"/>
        </w:rPr>
        <w:t xml:space="preserve">부록 C: OpenHash 특허 명세서 (출원번호 제10-2025-0183149호 / 제10-2026-0018910호, 출원인: 도영민)</w:t>
      </w:r>
    </w:p>
    <w:p>
      <w:pPr>
        <w:spacing w:before="60" w:after="60" w:line="340"/>
        <w:jc w:val="both"/>
      </w:pPr>
      <w:r>
        <w:rPr>
          <w:rFonts w:ascii="Noto Serif KR" w:cs="Noto Serif KR" w:eastAsia="Noto Serif KR" w:hAnsi="Noto Serif KR"/>
          <w:color w:val="1A1A2E"/>
          <w:sz w:val="20"/>
          <w:szCs w:val="20"/>
        </w:rPr>
        <w:t xml:space="preserve">부록 D: PDV·삼중 서명 재무제표 특허 명세서 (출원번호 제10-2026-0019895호, 출원인: 도영민, 2026.01.30.)</w:t>
      </w:r>
    </w:p>
    <w:p>
      <w:pPr>
        <w:spacing w:before="60" w:after="60" w:line="340"/>
        <w:jc w:val="both"/>
      </w:pPr>
      <w:r>
        <w:rPr>
          <w:rFonts w:ascii="Noto Serif KR" w:cs="Noto Serif KR" w:eastAsia="Noto Serif KR" w:hAnsi="Noto Serif KR"/>
          <w:color w:val="1A1A2E"/>
          <w:sz w:val="20"/>
          <w:szCs w:val="20"/>
        </w:rPr>
        <w:t xml:space="preserve">부록 E: 고팡(Gopang) 시스템 설계 문서</w:t>
      </w:r>
    </w:p>
    <w:p>
      <w:pPr>
        <w:spacing w:before="60" w:after="60" w:line="340"/>
        <w:jc w:val="both"/>
      </w:pPr>
      <w:r>
        <w:rPr>
          <w:rFonts w:ascii="Noto Serif KR" w:cs="Noto Serif KR" w:eastAsia="Noto Serif KR" w:hAnsi="Noto Serif KR"/>
          <w:color w:val="1A1A2E"/>
          <w:sz w:val="20"/>
          <w:szCs w:val="20"/>
        </w:rPr>
        <w:t xml:space="preserve">부록 F: 전체 사건 기록 (익명화본)</w:t>
      </w:r>
    </w:p>
    <w:p>
      <w:pPr>
        <w:spacing w:before="60" w:after="60" w:line="340"/>
        <w:jc w:val="both"/>
      </w:pPr>
      <w:r>
        <w:rPr>
          <w:rFonts w:ascii="Noto Serif KR" w:cs="Noto Serif KR" w:eastAsia="Noto Serif KR" w:hAnsi="Noto Serif KR"/>
          <w:color w:val="1A1A2E"/>
          <w:sz w:val="20"/>
          <w:szCs w:val="20"/>
        </w:rPr>
        <w:t xml:space="preserve">부록 G: 논쟁 관리 엔진 처리 로그 (26회 교환 전문)</w:t>
      </w:r>
    </w:p>
    <w:p>
      <w:pPr>
        <w:spacing w:before="60" w:after="60" w:line="340"/>
        <w:jc w:val="both"/>
      </w:pPr>
      <w:r>
        <w:rPr>
          <w:rFonts w:ascii="Noto Serif KR" w:cs="Noto Serif KR" w:eastAsia="Noto Serif KR" w:hAnsi="Noto Serif KR"/>
          <w:color w:val="1A1A2E"/>
          <w:sz w:val="20"/>
          <w:szCs w:val="20"/>
        </w:rPr>
        <w:t xml:space="preserve">부록 H: 판결 품질 평가 방법론 상세 루브릭 v1.3 [항목별 세부 감점 기준 및 실제 판결문 적용 예시 포함]</w:t>
      </w:r>
    </w:p>
    <w:p>
      <w:pPr>
        <w:spacing w:before="60" w:after="60" w:line="340"/>
        <w:jc w:val="both"/>
      </w:pPr>
      <w:r>
        <w:rPr>
          <w:rFonts w:ascii="Noto Serif KR" w:cs="Noto Serif KR" w:eastAsia="Noto Serif KR" w:hAnsi="Noto Serif KR"/>
          <w:color w:val="1A1A2E"/>
          <w:sz w:val="20"/>
          <w:szCs w:val="20"/>
        </w:rPr>
        <w:t xml:space="preserve">부록 I: 판정 패널 4라운드 합의 절차 기록</w:t>
      </w:r>
    </w:p>
    <w:p>
      <w:pPr>
        <w:spacing w:before="60" w:after="60" w:line="340"/>
        <w:jc w:val="both"/>
      </w:pPr>
      <w:r>
        <w:rPr>
          <w:rFonts w:ascii="Noto Serif KR" w:cs="Noto Serif KR" w:eastAsia="Noto Serif KR" w:hAnsi="Noto Serif KR"/>
          <w:color w:val="1A1A2E"/>
          <w:sz w:val="20"/>
          <w:szCs w:val="20"/>
        </w:rPr>
        <w:t xml:space="preserve">부록 J: 예방 법학 반사실적 시뮬레이션 보고서</w:t>
      </w:r>
    </w:p>
    <w:p>
      <w:pPr>
        <w:spacing w:before="60" w:after="60" w:line="340"/>
        <w:jc w:val="both"/>
      </w:pPr>
      <w:r>
        <w:rPr>
          <w:rFonts w:ascii="Noto Serif KR" w:cs="Noto Serif KR" w:eastAsia="Noto Serif KR" w:hAnsi="Noto Serif KR"/>
          <w:color w:val="1A1A2E"/>
          <w:sz w:val="20"/>
          <w:szCs w:val="20"/>
        </w:rPr>
        <w:t xml:space="preserve">부록 K: OpenHash 성능 측정 상세 결과 (AWS 환경) — E2E 시간(평균 3.09ms), 단일 노드 TPS(5,354), 에너지 절감률(PoW 대비 98.5% 이상)</w:t>
      </w:r>
    </w:p>
    <w:p>
      <w:pPr>
        <w:spacing w:before="60" w:after="60"/>
      </w:pPr>
      <w:r>
        <w:t xml:space="preserve"/>
      </w:r>
    </w:p>
    <w:p>
      <w:pPr>
        <w:spacing w:before="60" w:after="60" w:line="340"/>
        <w:jc w:val="both"/>
      </w:pPr>
      <w:r>
        <w:rPr>
          <w:rFonts w:ascii="Noto Serif KR" w:cs="Noto Serif KR" w:eastAsia="Noto Serif KR" w:hAnsi="Noto Serif KR"/>
          <w:color w:val="1A1A2E"/>
          <w:sz w:val="20"/>
          <w:szCs w:val="20"/>
        </w:rPr>
        <w:t xml:space="preserve">모든 부록 자료: https://github.com/team-jupeter/k-openlaw</w:t>
      </w:r>
    </w:p>
    <w:sectPr>
      <w:headerReference w:type="default" r:id="rId6"/>
      <w:footerReference w:type="default" r:id="rId7"/>
      <w:pgSz w:w="11906" w:h="16838"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3087" w:sz="4" w:space="4"/>
      </w:pBdr>
      <w:spacing w:before="120" w:after="0"/>
      <w:jc w:val="center"/>
    </w:pPr>
    <w:r>
      <w:rPr>
        <w:rFonts w:ascii="Noto Serif KR" w:cs="Noto Serif KR" w:eastAsia="Noto Serif KR" w:hAnsi="Noto Serif KR"/>
        <w:color w:val="4A5568"/>
        <w:sz w:val="16"/>
        <w:szCs w:val="16"/>
      </w:rPr>
      <w:t xml:space="preserve">© 2026 K-OpenLaw 연구그룹, AI City Inc. — 논문초안 v3.5 (2026. 03. 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3087" w:sz="4" w:space="4"/>
      </w:pBdr>
      <w:spacing w:before="0" w:after="120"/>
      <w:jc w:val="right"/>
    </w:pPr>
    <w:r>
      <w:rPr>
        <w:rFonts w:ascii="Noto Serif KR" w:cs="Noto Serif KR" w:eastAsia="Noto Serif KR" w:hAnsi="Noto Serif KR"/>
        <w:color w:val="4A5568"/>
        <w:sz w:val="16"/>
        <w:szCs w:val="16"/>
      </w:rPr>
      <w:t xml:space="preserve">K-OpenLaw: 이종 LLM 기반 자율 분쟁 해결 시스템의 실증적 연구</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84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erif KR" w:cs="Noto Serif KR" w:eastAsia="Noto Serif KR" w:hAnsi="Noto Serif KR"/>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60"/>
      <w:outlineLvl w:val="0"/>
    </w:pPr>
    <w:rPr>
      <w:rFonts w:ascii="Noto Serif KR" w:cs="Noto Serif KR" w:eastAsia="Noto Serif KR" w:hAnsi="Noto Serif KR"/>
      <w:b/>
      <w:bCs/>
      <w:color w:val="001f5b"/>
      <w:sz w:val="32"/>
      <w:szCs w:val="32"/>
    </w:rPr>
  </w:style>
  <w:style w:type="paragraph" w:styleId="Heading2">
    <w:name w:val="Heading 2"/>
    <w:basedOn w:val="Normal"/>
    <w:next w:val="Normal"/>
    <w:qFormat/>
    <w:pPr>
      <w:spacing w:before="280" w:after="120"/>
      <w:outlineLvl w:val="1"/>
    </w:pPr>
    <w:rPr>
      <w:rFonts w:ascii="Noto Serif KR" w:cs="Noto Serif KR" w:eastAsia="Noto Serif KR" w:hAnsi="Noto Serif KR"/>
      <w:b/>
      <w:bCs/>
      <w:color w:val="003087"/>
      <w:sz w:val="26"/>
      <w:szCs w:val="26"/>
    </w:rPr>
  </w:style>
  <w:style w:type="paragraph" w:styleId="Heading3">
    <w:name w:val="Heading 3"/>
    <w:basedOn w:val="Normal"/>
    <w:next w:val="Normal"/>
    <w:qFormat/>
    <w:pPr>
      <w:spacing w:before="200" w:after="80"/>
      <w:outlineLvl w:val="2"/>
    </w:pPr>
    <w:rPr>
      <w:rFonts w:ascii="Noto Serif KR" w:cs="Noto Serif KR" w:eastAsia="Noto Serif KR" w:hAnsi="Noto Serif KR"/>
      <w:b/>
      <w:bCs/>
      <w:color w:val="001f5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2026-03-20T02:15:33.834Z</dcterms:created>
  <dcterms:modified xsi:type="dcterms:W3CDTF">2026-03-20T02:15:33.835Z</dcterms:modified>
</cp:coreProperties>
</file>

<file path=docProps/custom.xml><?xml version="1.0" encoding="utf-8"?>
<Properties xmlns="http://schemas.openxmlformats.org/officeDocument/2006/custom-properties" xmlns:vt="http://schemas.openxmlformats.org/officeDocument/2006/docPropsVTypes"/>
</file>