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23E02629A4C34EFD9AA2C7B026B1F084"/>
          </w:placeholder>
        </w:sdtPr>
        <w:sdtEndPr>
          <w:rPr>
            <w:rStyle w:val="FontStyle17"/>
          </w:rPr>
        </w:sdtEndPr>
        <w:sdtContent>
          <w:r w:rsidR="00087CAC">
            <w:rPr>
              <w:rStyle w:val="FontStyle17"/>
            </w:rPr>
            <w:t>241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  <w:b/>
          </w:rPr>
          <w:alias w:val="DateBu"/>
          <w:tag w:val="DateBu"/>
          <w:id w:val="1108240573"/>
          <w:placeholder>
            <w:docPart w:val="DC051410BD344985BCF8AC34E6F0617F"/>
          </w:placeholder>
        </w:sdtPr>
        <w:sdtEndPr>
          <w:rPr>
            <w:rStyle w:val="FontStyle14"/>
            <w:bCs/>
          </w:rPr>
        </w:sdtEndPr>
        <w:sdtContent>
          <w:r w:rsidR="00087CAC" w:rsidRPr="00087CAC">
            <w:rPr>
              <w:rStyle w:val="FontStyle14"/>
              <w:b/>
            </w:rPr>
            <w:t>1</w:t>
          </w:r>
        </w:sdtContent>
      </w:sdt>
      <w:r w:rsidR="00087CAC" w:rsidRPr="00087CAC">
        <w:rPr>
          <w:rStyle w:val="FontStyle14"/>
          <w:b/>
          <w:bCs/>
        </w:rPr>
        <w:t>г</w:t>
      </w:r>
      <w:r w:rsidR="00087CAC">
        <w:rPr>
          <w:rStyle w:val="FontStyle17"/>
          <w:b w:val="0"/>
        </w:rPr>
        <w:t>.</w:t>
      </w:r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</w:t>
      </w:r>
      <w:r w:rsidRPr="00087CAC">
        <w:rPr>
          <w:rStyle w:val="FontStyle14"/>
          <w:b/>
        </w:rPr>
        <w:t xml:space="preserve">п. </w:t>
      </w:r>
      <w:r w:rsidR="00166A14" w:rsidRPr="00087CAC">
        <w:rPr>
          <w:rStyle w:val="FontStyle14"/>
          <w:b/>
        </w:rPr>
        <w:t>81(11)</w:t>
      </w:r>
      <w:r>
        <w:rPr>
          <w:rStyle w:val="FontStyle15"/>
        </w:rPr>
        <w:t xml:space="preserve"> </w:t>
      </w:r>
      <w:r w:rsidRPr="00087CAC">
        <w:rPr>
          <w:rStyle w:val="FontStyle14"/>
          <w:bCs/>
          <w:sz w:val="18"/>
          <w:szCs w:val="18"/>
        </w:rPr>
        <w:t>Постано</w:t>
      </w:r>
      <w:r w:rsidRPr="00087CAC">
        <w:rPr>
          <w:rStyle w:val="FontStyle14"/>
          <w:sz w:val="18"/>
          <w:szCs w:val="18"/>
        </w:rPr>
        <w:t>вления</w:t>
      </w:r>
      <w:r w:rsidRPr="00E31B9B">
        <w:rPr>
          <w:rStyle w:val="FontStyle14"/>
          <w:sz w:val="18"/>
          <w:szCs w:val="18"/>
        </w:rPr>
        <w:t xml:space="preserve"> </w:t>
      </w:r>
      <w:r w:rsidRPr="00087CAC">
        <w:rPr>
          <w:rStyle w:val="FontStyle13"/>
          <w:b w:val="0"/>
          <w:sz w:val="18"/>
          <w:szCs w:val="18"/>
        </w:rPr>
        <w:t>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Pr="00087CAC">
        <w:rPr>
          <w:rStyle w:val="FontStyle14"/>
          <w:b/>
        </w:rPr>
        <w:t>№354</w:t>
      </w:r>
      <w:r>
        <w:rPr>
          <w:rStyle w:val="FontStyle14"/>
        </w:rPr>
        <w:t xml:space="preserve">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Default="008D2001" w:rsidP="008D2001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8D2001">
        <w:rPr>
          <w:rStyle w:val="FontStyle14"/>
        </w:rPr>
        <w:t xml:space="preserve">Нарушение показателей, указанных в абзацах третьем - пятом настоящего пункта, признается несанкционированным вмешательством в работу прибора учета. При обнаружении в ходе проверки указанных нарушений исполнитель составляет акт о несанкционированном вмешательстве в работу прибора учета. </w:t>
      </w:r>
      <w:r>
        <w:rPr>
          <w:rStyle w:val="FontStyle14"/>
        </w:rPr>
        <w:t>И</w:t>
      </w:r>
      <w:r w:rsidRPr="008D2001">
        <w:rPr>
          <w:rStyle w:val="FontStyle14"/>
        </w:rPr>
        <w:t xml:space="preserve">сполнитель производит перерасчет платы за коммунальную услугу и направляет потребителю требование о внесении </w:t>
      </w:r>
      <w:proofErr w:type="spellStart"/>
      <w:r w:rsidRPr="008D2001">
        <w:rPr>
          <w:rStyle w:val="FontStyle14"/>
        </w:rPr>
        <w:t>доначисленной</w:t>
      </w:r>
      <w:proofErr w:type="spellEnd"/>
      <w:r w:rsidRPr="008D2001">
        <w:rPr>
          <w:rStyle w:val="FontStyle14"/>
        </w:rPr>
        <w:t xml:space="preserve"> платы за коммунальные услуги. </w:t>
      </w:r>
      <w:proofErr w:type="gramStart"/>
      <w:r w:rsidRPr="008D2001">
        <w:rPr>
          <w:rStyle w:val="FontStyle14"/>
        </w:rPr>
        <w:t>Такой перерасчет производится за период, начиная с даты установления указанных пломб или устройств, но не ранее чем с даты проведения исполнителем предыдущей проверки и не более чем за 3 месяца,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</w:t>
      </w:r>
      <w:proofErr w:type="gramEnd"/>
      <w:r w:rsidRPr="008D2001">
        <w:rPr>
          <w:rStyle w:val="FontStyle14"/>
        </w:rPr>
        <w:t xml:space="preserve"> услуг с применением повышающего коэффициента 10.</w:t>
      </w:r>
    </w:p>
    <w:p w:rsidR="002E5E2A" w:rsidRPr="00166A14" w:rsidRDefault="002E5E2A" w:rsidP="002E5E2A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2E5E2A">
        <w:rPr>
          <w:rStyle w:val="FontStyle14"/>
        </w:rPr>
        <w:t xml:space="preserve">Расчет объёма произведен исходя из </w:t>
      </w:r>
      <w:proofErr w:type="gramStart"/>
      <w:r w:rsidRPr="002E5E2A">
        <w:rPr>
          <w:rStyle w:val="FontStyle14"/>
        </w:rPr>
        <w:t>объемов</w:t>
      </w:r>
      <w:proofErr w:type="gramEnd"/>
      <w:r w:rsidRPr="002E5E2A">
        <w:rPr>
          <w:rStyle w:val="FontStyle14"/>
        </w:rPr>
        <w:t xml:space="preserve"> рассчитанных на основании нормативов потребления электроэнергии с применением </w:t>
      </w:r>
      <w:r w:rsidRPr="008D2001">
        <w:rPr>
          <w:rStyle w:val="FontStyle14"/>
          <w:b/>
        </w:rPr>
        <w:t>повышающего коэффициента 10</w:t>
      </w:r>
      <w:r w:rsidRPr="002E5E2A">
        <w:rPr>
          <w:rStyle w:val="FontStyle14"/>
        </w:rPr>
        <w:t xml:space="preserve">, за период, начиная с даты установления указанных пломб или устройств, но не ранее чем с даты проведения исполнителем предыдущей проверки и </w:t>
      </w:r>
      <w:r w:rsidRPr="008D2001">
        <w:rPr>
          <w:rStyle w:val="FontStyle14"/>
          <w:b/>
        </w:rPr>
        <w:t>не более чем за 3 месяца</w:t>
      </w:r>
      <w:r w:rsidRPr="002E5E2A">
        <w:rPr>
          <w:rStyle w:val="FontStyle14"/>
        </w:rPr>
        <w:t>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вмешательства.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 xml:space="preserve">Наличие </w:t>
            </w:r>
            <w:proofErr w:type="spellStart"/>
            <w:r>
              <w:rPr>
                <w:rStyle w:val="FontStyle14"/>
                <w:b/>
              </w:rPr>
              <w:t>электроотопления</w:t>
            </w:r>
            <w:proofErr w:type="spellEnd"/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</w:t>
            </w:r>
            <w:proofErr w:type="gramStart"/>
            <w:r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</w:t>
            </w:r>
            <w:proofErr w:type="gramStart"/>
            <w:r w:rsidR="005E79A8"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94284E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</w:sdtPr>
              <w:sdtEndPr/>
              <w:sdtContent>
                <w:r w:rsidR="00087CAC">
                  <w:t>93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94284E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94284E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94284E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</w:sdtPr>
              <w:sdtEndPr/>
              <w:sdtContent>
                <w:r w:rsidR="00087CAC">
                  <w:t>Да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94284E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</w:sdtPr>
              <w:sdtEndPr/>
              <w:sdtContent>
                <w:r w:rsidR="00087CAC">
                  <w:t>1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94284E" w:rsidP="00087CAC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</w:sdtPr>
              <w:sdtEndPr/>
              <w:sdtContent>
                <w:r w:rsidR="00087CAC">
                  <w:t>123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1</w:t>
          </w:r>
        </w:sdtContent>
      </w:sdt>
      <w:r w:rsidR="00087CAC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</w:t>
      </w:r>
      <w:r w:rsidR="00087CAC">
        <w:rPr>
          <w:rFonts w:ascii="Times New Roman" w:hAnsi="Times New Roman" w:cs="Times New Roman"/>
          <w:sz w:val="24"/>
          <w:szCs w:val="24"/>
        </w:rPr>
        <w:t xml:space="preserve">по 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  <w:r w:rsidR="00087CAC">
        <w:rPr>
          <w:rFonts w:ascii="Times New Roman" w:hAnsi="Times New Roman" w:cs="Times New Roman"/>
          <w:sz w:val="24"/>
          <w:szCs w:val="24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</w:sdtPr>
        <w:sdtEndPr/>
        <w:sdtContent>
          <w:r w:rsidR="00087CAC">
            <w:rPr>
              <w:rFonts w:ascii="Times New Roman" w:hAnsi="Times New Roman" w:cs="Times New Roman"/>
              <w:sz w:val="24"/>
              <w:szCs w:val="24"/>
            </w:rPr>
            <w:t>13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8E02FD" w:rsidP="004014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D0A1E3" wp14:editId="23DF317F">
            <wp:simplePos x="0" y="0"/>
            <wp:positionH relativeFrom="column">
              <wp:posOffset>4008120</wp:posOffset>
            </wp:positionH>
            <wp:positionV relativeFrom="paragraph">
              <wp:posOffset>13970</wp:posOffset>
            </wp:positionV>
            <wp:extent cx="946150" cy="709295"/>
            <wp:effectExtent l="0" t="0" r="0" b="0"/>
            <wp:wrapNone/>
            <wp:docPr id="1" name="Рисунок 1" descr="d:\Desktop\подписи\Лавре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подписи\Лавренов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52F17"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="00252F17"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</w:sdtPr>
        <w:sdtEndPr/>
        <w:sdtContent>
          <w:r w:rsidR="00087CAC" w:rsidRPr="00087CAC">
            <w:rPr>
              <w:rFonts w:ascii="Times New Roman" w:hAnsi="Times New Roman" w:cs="Times New Roman"/>
              <w:b/>
              <w:sz w:val="24"/>
              <w:szCs w:val="24"/>
            </w:rPr>
            <w:t>123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E55CD2">
        <w:rPr>
          <w:rFonts w:ascii="Times New Roman" w:hAnsi="Times New Roman" w:cs="Times New Roman"/>
          <w:sz w:val="24"/>
          <w:szCs w:val="24"/>
        </w:rPr>
        <w:t>кВт</w:t>
      </w:r>
      <w:r w:rsidR="00252F17"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252F17"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84E" w:rsidRDefault="0094284E" w:rsidP="00252F17">
      <w:pPr>
        <w:spacing w:after="0" w:line="240" w:lineRule="auto"/>
      </w:pPr>
      <w:r>
        <w:separator/>
      </w:r>
    </w:p>
  </w:endnote>
  <w:endnote w:type="continuationSeparator" w:id="0">
    <w:p w:rsidR="0094284E" w:rsidRDefault="0094284E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84E" w:rsidRDefault="0094284E" w:rsidP="00252F17">
      <w:pPr>
        <w:spacing w:after="0" w:line="240" w:lineRule="auto"/>
      </w:pPr>
      <w:r>
        <w:separator/>
      </w:r>
    </w:p>
  </w:footnote>
  <w:footnote w:type="continuationSeparator" w:id="0">
    <w:p w:rsidR="0094284E" w:rsidRDefault="0094284E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87CAC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6391"/>
    <w:rsid w:val="001D7F28"/>
    <w:rsid w:val="00252F17"/>
    <w:rsid w:val="00272BBB"/>
    <w:rsid w:val="002A14EA"/>
    <w:rsid w:val="002C3FDF"/>
    <w:rsid w:val="002E5842"/>
    <w:rsid w:val="002E5E2A"/>
    <w:rsid w:val="002E7E54"/>
    <w:rsid w:val="003D5341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87F5D"/>
    <w:rsid w:val="007A41A6"/>
    <w:rsid w:val="007D4755"/>
    <w:rsid w:val="007E0485"/>
    <w:rsid w:val="008210AA"/>
    <w:rsid w:val="008400DC"/>
    <w:rsid w:val="00862B98"/>
    <w:rsid w:val="00873836"/>
    <w:rsid w:val="00897609"/>
    <w:rsid w:val="008B2103"/>
    <w:rsid w:val="008D2001"/>
    <w:rsid w:val="008D2182"/>
    <w:rsid w:val="008D5D5E"/>
    <w:rsid w:val="008E02EB"/>
    <w:rsid w:val="008E02FD"/>
    <w:rsid w:val="008F4188"/>
    <w:rsid w:val="00911028"/>
    <w:rsid w:val="0094284E"/>
    <w:rsid w:val="009617CC"/>
    <w:rsid w:val="0096770B"/>
    <w:rsid w:val="00A34EDD"/>
    <w:rsid w:val="00A64AFB"/>
    <w:rsid w:val="00A83DD0"/>
    <w:rsid w:val="00AB3972"/>
    <w:rsid w:val="00AF19DB"/>
    <w:rsid w:val="00B50F9D"/>
    <w:rsid w:val="00B713ED"/>
    <w:rsid w:val="00BD476B"/>
    <w:rsid w:val="00BE7B1E"/>
    <w:rsid w:val="00C7463C"/>
    <w:rsid w:val="00C81A80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363CCD" w:rsidRDefault="00363CCD" w:rsidP="00363CCD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363CCD" w:rsidRDefault="00363CCD" w:rsidP="00363CCD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363CCD" w:rsidRDefault="00363CCD" w:rsidP="00363CCD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363CCD" w:rsidRDefault="00363CCD" w:rsidP="00363CCD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363CCD" w:rsidRDefault="00363CCD" w:rsidP="00363CCD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363CCD" w:rsidRDefault="00363CCD" w:rsidP="00363CCD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363CCD" w:rsidRDefault="00363CCD" w:rsidP="00363CCD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363CCD" w:rsidRDefault="00363CCD" w:rsidP="00363CCD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363CCD" w:rsidRDefault="00363CCD" w:rsidP="00363CCD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363CCD" w:rsidRDefault="00363CCD" w:rsidP="00363CCD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363CCD" w:rsidRDefault="00363CCD" w:rsidP="00363CCD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363CCD" w:rsidRDefault="00363CCD" w:rsidP="00363CCD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B2"/>
    <w:rsid w:val="001C4144"/>
    <w:rsid w:val="00227695"/>
    <w:rsid w:val="00363CCD"/>
    <w:rsid w:val="00384756"/>
    <w:rsid w:val="004B08B2"/>
    <w:rsid w:val="00666013"/>
    <w:rsid w:val="00741382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CCD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363CCD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CCD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363CCD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363C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363CCD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363CCD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F812-027F-4495-83E3-E2BA54DD6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10</cp:revision>
  <cp:lastPrinted>2017-11-15T07:15:00Z</cp:lastPrinted>
  <dcterms:created xsi:type="dcterms:W3CDTF">2017-11-16T04:19:00Z</dcterms:created>
  <dcterms:modified xsi:type="dcterms:W3CDTF">2018-02-27T09:08:00Z</dcterms:modified>
</cp:coreProperties>
</file>