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jc w:val="center"/>
        <w:rPr>
          <w:rFonts w:ascii="Georgia" w:cs="Georgia" w:eastAsia="Georgia" w:hAnsi="Georgia"/>
          <w:b w:val="1"/>
          <w:sz w:val="60"/>
          <w:szCs w:val="60"/>
        </w:rPr>
      </w:pPr>
      <w:bookmarkStart w:colFirst="0" w:colLast="0" w:name="_l1fyfcrxue2b" w:id="0"/>
      <w:bookmarkEnd w:id="0"/>
      <w:r w:rsidDel="00000000" w:rsidR="00000000" w:rsidRPr="00000000">
        <w:rPr>
          <w:rFonts w:ascii="Georgia" w:cs="Georgia" w:eastAsia="Georgia" w:hAnsi="Georgia"/>
          <w:b w:val="1"/>
          <w:sz w:val="60"/>
          <w:szCs w:val="60"/>
          <w:rtl w:val="0"/>
        </w:rPr>
        <w:t xml:space="preserve">Identifying Undervalued Companies in the Energy Sector</w:t>
      </w:r>
    </w:p>
    <w:p w:rsidR="00000000" w:rsidDel="00000000" w:rsidP="00000000" w:rsidRDefault="00000000" w:rsidRPr="00000000" w14:paraId="00000002">
      <w:pPr>
        <w:spacing w:line="240" w:lineRule="auto"/>
        <w:rPr>
          <w:rFonts w:ascii="Georgia" w:cs="Georgia" w:eastAsia="Georgia" w:hAnsi="Georgia"/>
          <w:sz w:val="60"/>
          <w:szCs w:val="60"/>
        </w:rPr>
      </w:pPr>
      <w:r w:rsidDel="00000000" w:rsidR="00000000" w:rsidRPr="00000000">
        <w:rPr>
          <w:rtl w:val="0"/>
        </w:rPr>
      </w:r>
    </w:p>
    <w:p w:rsidR="00000000" w:rsidDel="00000000" w:rsidP="00000000" w:rsidRDefault="00000000" w:rsidRPr="00000000" w14:paraId="00000003">
      <w:pPr>
        <w:spacing w:line="240" w:lineRule="auto"/>
        <w:rPr>
          <w:rFonts w:ascii="Georgia" w:cs="Georgia" w:eastAsia="Georgia" w:hAnsi="Georgia"/>
          <w:sz w:val="60"/>
          <w:szCs w:val="60"/>
        </w:rPr>
      </w:pPr>
      <w:r w:rsidDel="00000000" w:rsidR="00000000" w:rsidRPr="00000000">
        <w:rPr>
          <w:rtl w:val="0"/>
        </w:rPr>
      </w:r>
    </w:p>
    <w:p w:rsidR="00000000" w:rsidDel="00000000" w:rsidP="00000000" w:rsidRDefault="00000000" w:rsidRPr="00000000" w14:paraId="00000004">
      <w:pPr>
        <w:spacing w:line="240" w:lineRule="auto"/>
        <w:rPr>
          <w:rFonts w:ascii="Georgia" w:cs="Georgia" w:eastAsia="Georgia" w:hAnsi="Georgia"/>
          <w:sz w:val="60"/>
          <w:szCs w:val="60"/>
        </w:rPr>
      </w:pPr>
      <w:r w:rsidDel="00000000" w:rsidR="00000000" w:rsidRPr="00000000">
        <w:rPr>
          <w:rtl w:val="0"/>
        </w:rPr>
      </w:r>
    </w:p>
    <w:p w:rsidR="00000000" w:rsidDel="00000000" w:rsidP="00000000" w:rsidRDefault="00000000" w:rsidRPr="00000000" w14:paraId="00000005">
      <w:pPr>
        <w:spacing w:line="240" w:lineRule="auto"/>
        <w:jc w:val="left"/>
        <w:rPr>
          <w:rFonts w:ascii="Georgia" w:cs="Georgia" w:eastAsia="Georgia" w:hAnsi="Georgia"/>
          <w:b w:val="1"/>
          <w:sz w:val="60"/>
          <w:szCs w:val="60"/>
        </w:rPr>
      </w:pPr>
      <w:r w:rsidDel="00000000" w:rsidR="00000000" w:rsidRPr="00000000">
        <w:rPr>
          <w:rtl w:val="0"/>
        </w:rPr>
      </w:r>
    </w:p>
    <w:p w:rsidR="00000000" w:rsidDel="00000000" w:rsidP="00000000" w:rsidRDefault="00000000" w:rsidRPr="00000000" w14:paraId="00000006">
      <w:pPr>
        <w:spacing w:line="240" w:lineRule="auto"/>
        <w:jc w:val="center"/>
        <w:rPr>
          <w:rFonts w:ascii="Georgia" w:cs="Georgia" w:eastAsia="Georgia" w:hAnsi="Georgia"/>
          <w:b w:val="1"/>
          <w:sz w:val="60"/>
          <w:szCs w:val="60"/>
        </w:rPr>
      </w:pPr>
      <w:r w:rsidDel="00000000" w:rsidR="00000000" w:rsidRPr="00000000">
        <w:rPr>
          <w:rFonts w:ascii="Georgia" w:cs="Georgia" w:eastAsia="Georgia" w:hAnsi="Georgia"/>
          <w:b w:val="1"/>
          <w:sz w:val="60"/>
          <w:szCs w:val="60"/>
          <w:rtl w:val="0"/>
        </w:rPr>
        <w:t xml:space="preserve">BY</w:t>
      </w:r>
    </w:p>
    <w:p w:rsidR="00000000" w:rsidDel="00000000" w:rsidP="00000000" w:rsidRDefault="00000000" w:rsidRPr="00000000" w14:paraId="00000007">
      <w:pPr>
        <w:spacing w:line="240" w:lineRule="auto"/>
        <w:jc w:val="center"/>
        <w:rPr>
          <w:rFonts w:ascii="Georgia" w:cs="Georgia" w:eastAsia="Georgia" w:hAnsi="Georgia"/>
          <w:b w:val="1"/>
          <w:sz w:val="60"/>
          <w:szCs w:val="60"/>
        </w:rPr>
      </w:pPr>
      <w:r w:rsidDel="00000000" w:rsidR="00000000" w:rsidRPr="00000000">
        <w:rPr>
          <w:rtl w:val="0"/>
        </w:rPr>
      </w:r>
    </w:p>
    <w:p w:rsidR="00000000" w:rsidDel="00000000" w:rsidP="00000000" w:rsidRDefault="00000000" w:rsidRPr="00000000" w14:paraId="00000008">
      <w:pPr>
        <w:spacing w:line="240" w:lineRule="auto"/>
        <w:jc w:val="center"/>
        <w:rPr>
          <w:rFonts w:ascii="Georgia" w:cs="Georgia" w:eastAsia="Georgia" w:hAnsi="Georgia"/>
          <w:b w:val="1"/>
          <w:sz w:val="60"/>
          <w:szCs w:val="60"/>
        </w:rPr>
      </w:pPr>
      <w:r w:rsidDel="00000000" w:rsidR="00000000" w:rsidRPr="00000000">
        <w:rPr>
          <w:rtl w:val="0"/>
        </w:rPr>
      </w:r>
    </w:p>
    <w:p w:rsidR="00000000" w:rsidDel="00000000" w:rsidP="00000000" w:rsidRDefault="00000000" w:rsidRPr="00000000" w14:paraId="00000009">
      <w:pPr>
        <w:spacing w:line="240" w:lineRule="auto"/>
        <w:jc w:val="left"/>
        <w:rPr>
          <w:rFonts w:ascii="Georgia" w:cs="Georgia" w:eastAsia="Georgia" w:hAnsi="Georgia"/>
          <w:b w:val="1"/>
          <w:sz w:val="60"/>
          <w:szCs w:val="60"/>
        </w:rPr>
      </w:pPr>
      <w:r w:rsidDel="00000000" w:rsidR="00000000" w:rsidRPr="00000000">
        <w:rPr>
          <w:rtl w:val="0"/>
        </w:rPr>
      </w:r>
    </w:p>
    <w:p w:rsidR="00000000" w:rsidDel="00000000" w:rsidP="00000000" w:rsidRDefault="00000000" w:rsidRPr="00000000" w14:paraId="0000000A">
      <w:pPr>
        <w:spacing w:line="240" w:lineRule="auto"/>
        <w:jc w:val="center"/>
        <w:rPr>
          <w:rFonts w:ascii="Georgia" w:cs="Georgia" w:eastAsia="Georgia" w:hAnsi="Georgia"/>
          <w:b w:val="1"/>
          <w:sz w:val="60"/>
          <w:szCs w:val="60"/>
        </w:rPr>
      </w:pPr>
      <w:r w:rsidDel="00000000" w:rsidR="00000000" w:rsidRPr="00000000">
        <w:rPr>
          <w:rFonts w:ascii="Georgia" w:cs="Georgia" w:eastAsia="Georgia" w:hAnsi="Georgia"/>
          <w:b w:val="1"/>
          <w:sz w:val="60"/>
          <w:szCs w:val="60"/>
          <w:rtl w:val="0"/>
        </w:rPr>
        <w:t xml:space="preserve">OPEYEMI FAYIPE</w:t>
      </w:r>
    </w:p>
    <w:p w:rsidR="00000000" w:rsidDel="00000000" w:rsidP="00000000" w:rsidRDefault="00000000" w:rsidRPr="00000000" w14:paraId="0000000B">
      <w:pPr>
        <w:spacing w:line="240" w:lineRule="auto"/>
        <w:jc w:val="center"/>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Data Analyst</w:t>
      </w:r>
    </w:p>
    <w:p w:rsidR="00000000" w:rsidDel="00000000" w:rsidP="00000000" w:rsidRDefault="00000000" w:rsidRPr="00000000" w14:paraId="0000000C">
      <w:pPr>
        <w:spacing w:line="240" w:lineRule="auto"/>
        <w:jc w:val="center"/>
        <w:rPr>
          <w:rFonts w:ascii="Georgia" w:cs="Georgia" w:eastAsia="Georgia" w:hAnsi="Georgia"/>
          <w:sz w:val="38"/>
          <w:szCs w:val="38"/>
        </w:rPr>
      </w:pPr>
      <w:r w:rsidDel="00000000" w:rsidR="00000000" w:rsidRPr="00000000">
        <w:rPr>
          <w:rFonts w:ascii="Georgia" w:cs="Georgia" w:eastAsia="Georgia" w:hAnsi="Georgia"/>
          <w:sz w:val="38"/>
          <w:szCs w:val="38"/>
          <w:rtl w:val="0"/>
        </w:rPr>
        <w:t xml:space="preserve">opeyemifayipe@gmail.com</w:t>
      </w:r>
    </w:p>
    <w:p w:rsidR="00000000" w:rsidDel="00000000" w:rsidP="00000000" w:rsidRDefault="00000000" w:rsidRPr="00000000" w14:paraId="0000000D">
      <w:pPr>
        <w:spacing w:line="240" w:lineRule="auto"/>
        <w:jc w:val="right"/>
        <w:rPr>
          <w:rFonts w:ascii="Georgia" w:cs="Georgia" w:eastAsia="Georgia" w:hAnsi="Georgia"/>
          <w:b w:val="1"/>
          <w:sz w:val="38"/>
          <w:szCs w:val="38"/>
        </w:rPr>
      </w:pPr>
      <w:r w:rsidDel="00000000" w:rsidR="00000000" w:rsidRPr="00000000">
        <w:rPr>
          <w:rtl w:val="0"/>
        </w:rPr>
      </w:r>
    </w:p>
    <w:p w:rsidR="00000000" w:rsidDel="00000000" w:rsidP="00000000" w:rsidRDefault="00000000" w:rsidRPr="00000000" w14:paraId="0000000E">
      <w:pPr>
        <w:spacing w:line="240" w:lineRule="auto"/>
        <w:jc w:val="right"/>
        <w:rPr>
          <w:rFonts w:ascii="Georgia" w:cs="Georgia" w:eastAsia="Georgia" w:hAnsi="Georgia"/>
          <w:b w:val="1"/>
          <w:sz w:val="38"/>
          <w:szCs w:val="38"/>
        </w:rPr>
      </w:pPr>
      <w:r w:rsidDel="00000000" w:rsidR="00000000" w:rsidRPr="00000000">
        <w:rPr>
          <w:rtl w:val="0"/>
        </w:rPr>
      </w:r>
    </w:p>
    <w:p w:rsidR="00000000" w:rsidDel="00000000" w:rsidP="00000000" w:rsidRDefault="00000000" w:rsidRPr="00000000" w14:paraId="0000000F">
      <w:pPr>
        <w:spacing w:line="240" w:lineRule="auto"/>
        <w:jc w:val="right"/>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JULY 2024</w:t>
      </w:r>
    </w:p>
    <w:p w:rsidR="00000000" w:rsidDel="00000000" w:rsidP="00000000" w:rsidRDefault="00000000" w:rsidRPr="00000000" w14:paraId="00000010">
      <w:pPr>
        <w:spacing w:line="240" w:lineRule="auto"/>
        <w:jc w:val="right"/>
        <w:rPr>
          <w:rFonts w:ascii="Georgia" w:cs="Georgia" w:eastAsia="Georgia" w:hAnsi="Georgia"/>
          <w:b w:val="1"/>
          <w:sz w:val="38"/>
          <w:szCs w:val="38"/>
        </w:rPr>
      </w:pPr>
      <w:r w:rsidDel="00000000" w:rsidR="00000000" w:rsidRPr="00000000">
        <w:rPr>
          <w:rtl w:val="0"/>
        </w:rPr>
      </w:r>
    </w:p>
    <w:p w:rsidR="00000000" w:rsidDel="00000000" w:rsidP="00000000" w:rsidRDefault="00000000" w:rsidRPr="00000000" w14:paraId="00000011">
      <w:pPr>
        <w:spacing w:after="240" w:before="240" w:line="240" w:lineRule="auto"/>
        <w:jc w:val="both"/>
        <w:rPr>
          <w:rFonts w:ascii="Georgia" w:cs="Georgia" w:eastAsia="Georgia" w:hAnsi="Georgi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identify four (4) undervalued companies in the Energy sector by examining their gross profit (GP) and gross profit growth (GPG) compared to similar companies in the same sector. A valuation model will be developed to project each company’s true value in four years. This analysis will guide our start-up in making data-driven decisions to maintain and run the business effectively over the next four years.</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spacing w:after="80" w:line="240" w:lineRule="auto"/>
        <w:rPr>
          <w:rFonts w:ascii="Times New Roman" w:cs="Times New Roman" w:eastAsia="Times New Roman" w:hAnsi="Times New Roman"/>
          <w:b w:val="1"/>
          <w:sz w:val="26"/>
          <w:szCs w:val="26"/>
        </w:rPr>
      </w:pPr>
      <w:bookmarkStart w:colFirst="0" w:colLast="0" w:name="_y93m18kt2p8c" w:id="1"/>
      <w:bookmarkEnd w:id="1"/>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analysis was conducted to identify undervalued companies in the energy sector by examining key financial metrics such as gross profit (GP), gross profit growth (GPG), and comparative ratios (P/E, P/B, P/S, Gross Margin, EPS Growth (5Y), ROE, Debt/Equity). The analysis focuses on four companies: </w:t>
      </w:r>
      <w:r w:rsidDel="00000000" w:rsidR="00000000" w:rsidRPr="00000000">
        <w:rPr>
          <w:rFonts w:ascii="Times New Roman" w:cs="Times New Roman" w:eastAsia="Times New Roman" w:hAnsi="Times New Roman"/>
          <w:b w:val="1"/>
          <w:sz w:val="24"/>
          <w:szCs w:val="24"/>
          <w:rtl w:val="0"/>
        </w:rPr>
        <w:t xml:space="preserve">Suncor Energy Inc (SU),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Murphy Oil Corp (MUR), Profire Energy Inc (PFIE), and California Resources Corp (CRC)</w:t>
      </w:r>
      <w:r w:rsidDel="00000000" w:rsidR="00000000" w:rsidRPr="00000000">
        <w:rPr>
          <w:rFonts w:ascii="Times New Roman" w:cs="Times New Roman" w:eastAsia="Times New Roman" w:hAnsi="Times New Roman"/>
          <w:sz w:val="24"/>
          <w:szCs w:val="24"/>
          <w:rtl w:val="0"/>
        </w:rPr>
        <w:t xml:space="preserve">. Additionally,  sector peers was included to provide context and comparison.</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companies were chosen based on their financial metrics and growth potential. The companies  selected were based on the following criteria:</w:t>
      </w:r>
    </w:p>
    <w:p w:rsidR="00000000" w:rsidDel="00000000" w:rsidP="00000000" w:rsidRDefault="00000000" w:rsidRPr="00000000" w14:paraId="00000019">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 Ratio</w:t>
      </w:r>
      <w:r w:rsidDel="00000000" w:rsidR="00000000" w:rsidRPr="00000000">
        <w:rPr>
          <w:rFonts w:ascii="Times New Roman" w:cs="Times New Roman" w:eastAsia="Times New Roman" w:hAnsi="Times New Roman"/>
          <w:sz w:val="24"/>
          <w:szCs w:val="24"/>
          <w:rtl w:val="0"/>
        </w:rPr>
        <w:t xml:space="preserve">: Under 25</w:t>
      </w:r>
    </w:p>
    <w:p w:rsidR="00000000" w:rsidDel="00000000" w:rsidP="00000000" w:rsidRDefault="00000000" w:rsidRPr="00000000" w14:paraId="0000001A">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P/S Ratio:</w:t>
      </w:r>
      <w:r w:rsidDel="00000000" w:rsidR="00000000" w:rsidRPr="00000000">
        <w:rPr>
          <w:rFonts w:ascii="Times New Roman" w:cs="Times New Roman" w:eastAsia="Times New Roman" w:hAnsi="Times New Roman"/>
          <w:sz w:val="24"/>
          <w:szCs w:val="24"/>
          <w:rtl w:val="0"/>
        </w:rPr>
        <w:t xml:space="preserve"> Under 2</w:t>
      </w:r>
    </w:p>
    <w:p w:rsidR="00000000" w:rsidDel="00000000" w:rsidP="00000000" w:rsidRDefault="00000000" w:rsidRPr="00000000" w14:paraId="0000001B">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P/B Ratio:</w:t>
      </w:r>
      <w:r w:rsidDel="00000000" w:rsidR="00000000" w:rsidRPr="00000000">
        <w:rPr>
          <w:rFonts w:ascii="Times New Roman" w:cs="Times New Roman" w:eastAsia="Times New Roman" w:hAnsi="Times New Roman"/>
          <w:sz w:val="24"/>
          <w:szCs w:val="24"/>
          <w:rtl w:val="0"/>
        </w:rPr>
        <w:t xml:space="preserve"> Under 3</w:t>
      </w:r>
    </w:p>
    <w:p w:rsidR="00000000" w:rsidDel="00000000" w:rsidP="00000000" w:rsidRDefault="00000000" w:rsidRPr="00000000" w14:paraId="0000001C">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Gross Margin:</w:t>
      </w:r>
      <w:r w:rsidDel="00000000" w:rsidR="00000000" w:rsidRPr="00000000">
        <w:rPr>
          <w:rFonts w:ascii="Times New Roman" w:cs="Times New Roman" w:eastAsia="Times New Roman" w:hAnsi="Times New Roman"/>
          <w:sz w:val="24"/>
          <w:szCs w:val="24"/>
          <w:rtl w:val="0"/>
        </w:rPr>
        <w:t xml:space="preserve"> Over 30%</w:t>
      </w:r>
    </w:p>
    <w:p w:rsidR="00000000" w:rsidDel="00000000" w:rsidP="00000000" w:rsidRDefault="00000000" w:rsidRPr="00000000" w14:paraId="0000001D">
      <w:pPr>
        <w:numPr>
          <w:ilvl w:val="0"/>
          <w:numId w:val="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EPS Growth (next 5 years)</w:t>
      </w:r>
      <w:r w:rsidDel="00000000" w:rsidR="00000000" w:rsidRPr="00000000">
        <w:rPr>
          <w:rFonts w:ascii="Times New Roman" w:cs="Times New Roman" w:eastAsia="Times New Roman" w:hAnsi="Times New Roman"/>
          <w:sz w:val="24"/>
          <w:szCs w:val="24"/>
          <w:rtl w:val="0"/>
        </w:rPr>
        <w:t xml:space="preserve">: Positive (&gt;0%)</w:t>
      </w:r>
    </w:p>
    <w:p w:rsidR="00000000" w:rsidDel="00000000" w:rsidP="00000000" w:rsidRDefault="00000000" w:rsidRPr="00000000" w14:paraId="0000001E">
      <w:pPr>
        <w:pStyle w:val="Heading2"/>
        <w:keepNext w:val="0"/>
        <w:keepLines w:val="0"/>
        <w:spacing w:after="80" w:line="240" w:lineRule="auto"/>
        <w:rPr>
          <w:rFonts w:ascii="Times New Roman" w:cs="Times New Roman" w:eastAsia="Times New Roman" w:hAnsi="Times New Roman"/>
        </w:rPr>
      </w:pPr>
      <w:bookmarkStart w:colFirst="0" w:colLast="0" w:name="_cw3dbtj4uvoh" w:id="2"/>
      <w:bookmarkEnd w:id="2"/>
      <w:r w:rsidDel="00000000" w:rsidR="00000000" w:rsidRPr="00000000">
        <w:rPr>
          <w:rFonts w:ascii="Times New Roman" w:cs="Times New Roman" w:eastAsia="Times New Roman" w:hAnsi="Times New Roman"/>
          <w:b w:val="1"/>
          <w:sz w:val="24"/>
          <w:szCs w:val="24"/>
          <w:rtl w:val="0"/>
        </w:rPr>
        <w:t xml:space="preserve">Company Analysis for the selected Undervalued Companies in Energy Sector</w:t>
      </w:r>
      <w:r w:rsidDel="00000000" w:rsidR="00000000" w:rsidRPr="00000000">
        <w:rPr>
          <w:rtl w:val="0"/>
        </w:rPr>
      </w:r>
    </w:p>
    <w:tbl>
      <w:tblPr>
        <w:tblStyle w:val="Table1"/>
        <w:tblpPr w:leftFromText="180" w:rightFromText="180" w:topFromText="180" w:bottomFromText="180" w:vertAnchor="text" w:horzAnchor="text" w:tblpX="-540" w:tblpY="0"/>
        <w:tblW w:w="1036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50"/>
        <w:gridCol w:w="795"/>
        <w:gridCol w:w="780"/>
        <w:gridCol w:w="720"/>
        <w:gridCol w:w="1155"/>
        <w:gridCol w:w="1515"/>
        <w:gridCol w:w="1110"/>
        <w:gridCol w:w="1065"/>
        <w:tblGridChange w:id="0">
          <w:tblGrid>
            <w:gridCol w:w="1875"/>
            <w:gridCol w:w="1350"/>
            <w:gridCol w:w="795"/>
            <w:gridCol w:w="780"/>
            <w:gridCol w:w="720"/>
            <w:gridCol w:w="1155"/>
            <w:gridCol w:w="1515"/>
            <w:gridCol w:w="1110"/>
            <w:gridCol w:w="1065"/>
          </w:tblGrid>
        </w:tblGridChange>
      </w:tblGrid>
      <w:tr>
        <w:trPr>
          <w:cantSplit w:val="0"/>
          <w:tblHeader w:val="0"/>
        </w:trPr>
        <w:tc>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Name</w:t>
            </w:r>
          </w:p>
        </w:tc>
        <w:tc>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Market Cap</w:t>
            </w:r>
          </w:p>
        </w:tc>
        <w:tc>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 </w:t>
            </w:r>
          </w:p>
        </w:tc>
        <w:tc>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P/B </w:t>
            </w:r>
          </w:p>
        </w:tc>
        <w:tc>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P/S </w:t>
            </w:r>
          </w:p>
        </w:tc>
        <w:tc>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Margin</w:t>
            </w:r>
          </w:p>
        </w:tc>
        <w:tc>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EPS Growth (5Y)</w:t>
            </w:r>
          </w:p>
        </w:tc>
        <w:tc>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ROE</w:t>
            </w:r>
          </w:p>
        </w:tc>
        <w:tc>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Debt/EQ</w:t>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Suncor</w:t>
            </w:r>
          </w:p>
        </w:tc>
        <w:tc>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$49.91B</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8.68</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w:t>
            </w:r>
          </w:p>
        </w:tc>
        <w:tc>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44.56%</w:t>
            </w:r>
          </w:p>
        </w:tc>
        <w:tc>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13.21%</w:t>
            </w:r>
          </w:p>
        </w:tc>
        <w:tc>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18.68%</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w:t>
            </w:r>
          </w:p>
        </w:tc>
      </w:tr>
      <w:tr>
        <w:trPr>
          <w:cantSplit w:val="0"/>
          <w:tblHeader w:val="0"/>
        </w:trPr>
        <w:tc>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Murphy</w:t>
            </w:r>
          </w:p>
        </w:tc>
        <w:tc>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$6.42B</w:t>
            </w:r>
          </w:p>
        </w:tc>
        <w:tc>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11.74</w:t>
            </w:r>
          </w:p>
        </w:tc>
        <w:tc>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33.38%</w:t>
            </w:r>
          </w:p>
        </w:tc>
        <w:tc>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13.50%</w:t>
            </w:r>
          </w:p>
        </w:tc>
        <w:tc>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10.77%</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w:t>
            </w:r>
          </w:p>
        </w:tc>
      </w:tr>
      <w:tr>
        <w:trPr>
          <w:cantSplit w:val="0"/>
          <w:tblHeader w:val="0"/>
        </w:trPr>
        <w:tc>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Profire</w:t>
            </w:r>
          </w:p>
        </w:tc>
        <w:tc>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$81.25M</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8.68</w:t>
            </w:r>
          </w:p>
        </w:tc>
        <w:tc>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w:t>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w:t>
            </w:r>
          </w:p>
        </w:tc>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50.39%</w:t>
            </w:r>
          </w:p>
        </w:tc>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21.00%</w:t>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17.84%</w:t>
            </w:r>
          </w:p>
        </w:tc>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California-Res Cop</w:t>
            </w:r>
          </w:p>
        </w:tc>
        <w:tc>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$4.69B</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15.04</w:t>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w:t>
            </w:r>
          </w:p>
        </w:tc>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44.99%</w:t>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12.09%</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w:p>
        </w:tc>
      </w:tr>
    </w:tbl>
    <w:p w:rsidR="00000000" w:rsidDel="00000000" w:rsidP="00000000" w:rsidRDefault="00000000" w:rsidRPr="00000000" w14:paraId="0000004D">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9"/>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to Earning  (P/E ) Ratio</w:t>
      </w:r>
    </w:p>
    <w:p w:rsidR="00000000" w:rsidDel="00000000" w:rsidP="00000000" w:rsidRDefault="00000000" w:rsidRPr="00000000" w14:paraId="0000004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Price-to-Earnings (P/E) Ratio is a valuation metric that compares a company’s current share price to its earnings per share (EPS). It indicates how much investors are willing to pay per dollar of earnings.</w:t>
      </w:r>
    </w:p>
    <w:p w:rsidR="00000000" w:rsidDel="00000000" w:rsidP="00000000" w:rsidRDefault="00000000" w:rsidRPr="00000000" w14:paraId="00000050">
      <w:pPr>
        <w:keepNext w:val="1"/>
        <w:keepLines w:val="1"/>
        <w:spacing w:after="0" w:before="20" w:lin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Formula:</w:t>
        <w:tab/>
        <w:t xml:space="preserve"> </w:t>
      </w:r>
      <w:r w:rsidDel="00000000" w:rsidR="00000000" w:rsidRPr="00000000">
        <w:rPr>
          <w:rFonts w:ascii="Times New Roman" w:cs="Times New Roman" w:eastAsia="Times New Roman" w:hAnsi="Times New Roman"/>
          <w:sz w:val="24"/>
          <w:szCs w:val="24"/>
          <w:u w:val="single"/>
          <w:rtl w:val="0"/>
        </w:rPr>
        <w:t xml:space="preserve">Market Price per Share</w:t>
      </w:r>
    </w:p>
    <w:p w:rsidR="00000000" w:rsidDel="00000000" w:rsidP="00000000" w:rsidRDefault="00000000" w:rsidRPr="00000000" w14:paraId="00000051">
      <w:pPr>
        <w:keepNext w:val="1"/>
        <w:keepLines w:val="1"/>
        <w:spacing w:after="0" w:before="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Earnings per Share(EPS)</w:t>
      </w:r>
    </w:p>
    <w:p w:rsidR="00000000" w:rsidDel="00000000" w:rsidP="00000000" w:rsidRDefault="00000000" w:rsidRPr="00000000" w14:paraId="00000052">
      <w:pPr>
        <w:keepNext w:val="1"/>
        <w:keepLines w:val="1"/>
        <w:spacing w:after="0" w:before="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9"/>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to Book  (P/B) Ratio</w:t>
      </w:r>
    </w:p>
    <w:p w:rsidR="00000000" w:rsidDel="00000000" w:rsidP="00000000" w:rsidRDefault="00000000" w:rsidRPr="00000000" w14:paraId="0000005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Price-to-Book (P/B) Ratio compares a company’s market value to its book value. It provides insight into how much investors are paying for the net assets of a company. </w:t>
      </w:r>
    </w:p>
    <w:p w:rsidR="00000000" w:rsidDel="00000000" w:rsidP="00000000" w:rsidRDefault="00000000" w:rsidRPr="00000000" w14:paraId="00000055">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0" w:before="20" w:lin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P/B Ratio  =</w:t>
      </w:r>
      <w:r w:rsidDel="00000000" w:rsidR="00000000" w:rsidRPr="00000000">
        <w:rPr>
          <w:rFonts w:ascii="Times New Roman" w:cs="Times New Roman" w:eastAsia="Times New Roman" w:hAnsi="Times New Roman"/>
          <w:sz w:val="24"/>
          <w:szCs w:val="24"/>
          <w:u w:val="single"/>
          <w:rtl w:val="0"/>
        </w:rPr>
        <w:t xml:space="preserve">   Market Price per Share</w:t>
        <w:tab/>
        <w:t xml:space="preserve">  </w:t>
      </w:r>
    </w:p>
    <w:p w:rsidR="00000000" w:rsidDel="00000000" w:rsidP="00000000" w:rsidRDefault="00000000" w:rsidRPr="00000000" w14:paraId="00000057">
      <w:pPr>
        <w:spacing w:after="0" w:before="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Book Value per Share​</w:t>
      </w:r>
    </w:p>
    <w:p w:rsidR="00000000" w:rsidDel="00000000" w:rsidP="00000000" w:rsidRDefault="00000000" w:rsidRPr="00000000" w14:paraId="00000058">
      <w:pPr>
        <w:spacing w:after="0" w:before="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9"/>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to Sales (P/S) Ratio</w:t>
      </w:r>
    </w:p>
    <w:p w:rsidR="00000000" w:rsidDel="00000000" w:rsidP="00000000" w:rsidRDefault="00000000" w:rsidRPr="00000000" w14:paraId="0000005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Price-to-Sales (P/S) Ratio compares a company’s stock price to its revenues. It is used to value companies, especially those that are not yet profitable. </w:t>
      </w:r>
    </w:p>
    <w:p w:rsidR="00000000" w:rsidDel="00000000" w:rsidP="00000000" w:rsidRDefault="00000000" w:rsidRPr="00000000" w14:paraId="0000005B">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0" w:before="20" w:lin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P/S Ratio =  </w:t>
      </w:r>
      <w:r w:rsidDel="00000000" w:rsidR="00000000" w:rsidRPr="00000000">
        <w:rPr>
          <w:rFonts w:ascii="Times New Roman" w:cs="Times New Roman" w:eastAsia="Times New Roman" w:hAnsi="Times New Roman"/>
          <w:sz w:val="24"/>
          <w:szCs w:val="24"/>
          <w:u w:val="single"/>
          <w:rtl w:val="0"/>
        </w:rPr>
        <w:t xml:space="preserve">   </w:t>
        <w:tab/>
        <w:t xml:space="preserve">Market Capitalization</w:t>
        <w:tab/>
        <w:t xml:space="preserve">     </w:t>
      </w:r>
    </w:p>
    <w:p w:rsidR="00000000" w:rsidDel="00000000" w:rsidP="00000000" w:rsidRDefault="00000000" w:rsidRPr="00000000" w14:paraId="0000005D">
      <w:pPr>
        <w:spacing w:after="0" w:before="2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Revenue​</w:t>
      </w:r>
    </w:p>
    <w:p w:rsidR="00000000" w:rsidDel="00000000" w:rsidP="00000000" w:rsidRDefault="00000000" w:rsidRPr="00000000" w14:paraId="0000005E">
      <w:pPr>
        <w:numPr>
          <w:ilvl w:val="0"/>
          <w:numId w:val="9"/>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Gross Margin</w:t>
      </w:r>
    </w:p>
    <w:p w:rsidR="00000000" w:rsidDel="00000000" w:rsidP="00000000" w:rsidRDefault="00000000" w:rsidRPr="00000000" w14:paraId="0000005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Gross Margin is the percentage of revenue that exceeds the cost of goods sold (COGS). It indicates how efficiently a company is producing its goods. </w:t>
      </w:r>
    </w:p>
    <w:p w:rsidR="00000000" w:rsidDel="00000000" w:rsidP="00000000" w:rsidRDefault="00000000" w:rsidRPr="00000000" w14:paraId="0000006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0" w:before="20" w:line="24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Gross Margin  = </w:t>
      </w:r>
      <w:r w:rsidDel="00000000" w:rsidR="00000000" w:rsidRPr="00000000">
        <w:rPr>
          <w:rFonts w:ascii="Times New Roman" w:cs="Times New Roman" w:eastAsia="Times New Roman" w:hAnsi="Times New Roman"/>
          <w:sz w:val="24"/>
          <w:szCs w:val="24"/>
          <w:u w:val="single"/>
          <w:rtl w:val="0"/>
        </w:rPr>
        <w:t xml:space="preserve">   Gross Profit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  ×   100%</w:t>
      </w: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62">
      <w:pPr>
        <w:spacing w:after="0" w:before="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Revenue</w:t>
        <w:tab/>
        <w:tab/>
        <w:tab/>
      </w:r>
    </w:p>
    <w:p w:rsidR="00000000" w:rsidDel="00000000" w:rsidP="00000000" w:rsidRDefault="00000000" w:rsidRPr="00000000" w14:paraId="00000063">
      <w:pPr>
        <w:numPr>
          <w:ilvl w:val="0"/>
          <w:numId w:val="9"/>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Earning per Share (EPS) Growth (5Y)</w:t>
      </w:r>
    </w:p>
    <w:p w:rsidR="00000000" w:rsidDel="00000000" w:rsidP="00000000" w:rsidRDefault="00000000" w:rsidRPr="00000000" w14:paraId="0000006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EPS Growth over 5 years measures the annualized growth rate of a company’s earnings per share over a five-year period. It reflects the company’s profitability trends and future growth potential. </w:t>
      </w:r>
    </w:p>
    <w:p w:rsidR="00000000" w:rsidDel="00000000" w:rsidP="00000000" w:rsidRDefault="00000000" w:rsidRPr="00000000" w14:paraId="00000065">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0" w:before="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EPS Growth (5Y)  =  </w:t>
      </w:r>
      <w:r w:rsidDel="00000000" w:rsidR="00000000" w:rsidRPr="00000000">
        <w:rPr>
          <w:rFonts w:ascii="Times New Roman" w:cs="Times New Roman" w:eastAsia="Times New Roman" w:hAnsi="Times New Roman"/>
          <w:sz w:val="24"/>
          <w:szCs w:val="24"/>
          <w:u w:val="single"/>
          <w:rtl w:val="0"/>
        </w:rPr>
        <w:t xml:space="preserve">  EPS in Year 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⅕    </w:t>
      </w:r>
      <w:r w:rsidDel="00000000" w:rsidR="00000000" w:rsidRPr="00000000">
        <w:rPr>
          <w:rFonts w:ascii="Times New Roman" w:cs="Times New Roman" w:eastAsia="Times New Roman" w:hAnsi="Times New Roman"/>
          <w:sz w:val="32"/>
          <w:szCs w:val="32"/>
          <w:rtl w:val="0"/>
        </w:rPr>
        <w:t xml:space="preserve">  -1</w:t>
      </w:r>
    </w:p>
    <w:p w:rsidR="00000000" w:rsidDel="00000000" w:rsidP="00000000" w:rsidRDefault="00000000" w:rsidRPr="00000000" w14:paraId="00000067">
      <w:pPr>
        <w:spacing w:after="0" w:before="2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EPS in Year 1 </w:t>
      </w:r>
    </w:p>
    <w:p w:rsidR="00000000" w:rsidDel="00000000" w:rsidP="00000000" w:rsidRDefault="00000000" w:rsidRPr="00000000" w14:paraId="00000068">
      <w:pPr>
        <w:spacing w:after="0" w:before="20" w:line="240"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9"/>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on Equity (ROE)</w:t>
      </w:r>
    </w:p>
    <w:p w:rsidR="00000000" w:rsidDel="00000000" w:rsidP="00000000" w:rsidRDefault="00000000" w:rsidRPr="00000000" w14:paraId="0000006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Return on Equity (ROE) measures a company’s profitability by revealing how much profit a company generates with the money shareholders have invested. It indicates how effectively management is using the company’s assets to create profits. </w:t>
      </w: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0" w:before="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ROE =</w:t>
      </w:r>
      <w:r w:rsidDel="00000000" w:rsidR="00000000" w:rsidRPr="00000000">
        <w:rPr>
          <w:rFonts w:ascii="Times New Roman" w:cs="Times New Roman" w:eastAsia="Times New Roman" w:hAnsi="Times New Roman"/>
          <w:sz w:val="24"/>
          <w:szCs w:val="24"/>
          <w:u w:val="single"/>
          <w:rtl w:val="0"/>
        </w:rPr>
        <w:t xml:space="preserve">  Net Income</w:t>
        <w:tab/>
      </w:r>
      <w:r w:rsidDel="00000000" w:rsidR="00000000" w:rsidRPr="00000000">
        <w:rPr>
          <w:rFonts w:ascii="Times New Roman" w:cs="Times New Roman" w:eastAsia="Times New Roman" w:hAnsi="Times New Roman"/>
          <w:sz w:val="24"/>
          <w:szCs w:val="24"/>
          <w:rtl w:val="0"/>
        </w:rPr>
        <w:t xml:space="preserve"> ×100%</w:t>
      </w:r>
    </w:p>
    <w:p w:rsidR="00000000" w:rsidDel="00000000" w:rsidP="00000000" w:rsidRDefault="00000000" w:rsidRPr="00000000" w14:paraId="0000006C">
      <w:pPr>
        <w:spacing w:after="0" w:before="2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Equity  </w:t>
      </w:r>
    </w:p>
    <w:p w:rsidR="00000000" w:rsidDel="00000000" w:rsidP="00000000" w:rsidRDefault="00000000" w:rsidRPr="00000000" w14:paraId="0000006D">
      <w:pPr>
        <w:spacing w:after="0" w:before="2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numPr>
          <w:ilvl w:val="0"/>
          <w:numId w:val="9"/>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Debt/Equity Ratio</w:t>
      </w:r>
    </w:p>
    <w:p w:rsidR="00000000" w:rsidDel="00000000" w:rsidP="00000000" w:rsidRDefault="00000000" w:rsidRPr="00000000" w14:paraId="0000006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Debt/Equity Ratio is a measure of a company’s financial leverage, calculated by dividing its total liabilities by shareholders' equity. It indicates what proportion of equity and debt the company is using to finance its assets. </w:t>
      </w:r>
    </w:p>
    <w:p w:rsidR="00000000" w:rsidDel="00000000" w:rsidP="00000000" w:rsidRDefault="00000000" w:rsidRPr="00000000" w14:paraId="0000007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0" w:before="20" w:lin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Debt/Equity Ratio =   </w:t>
      </w:r>
      <w:r w:rsidDel="00000000" w:rsidR="00000000" w:rsidRPr="00000000">
        <w:rPr>
          <w:rFonts w:ascii="Times New Roman" w:cs="Times New Roman" w:eastAsia="Times New Roman" w:hAnsi="Times New Roman"/>
          <w:sz w:val="24"/>
          <w:szCs w:val="24"/>
          <w:u w:val="single"/>
          <w:rtl w:val="0"/>
        </w:rPr>
        <w:t xml:space="preserve">  Total Liabilities</w:t>
        <w:tab/>
        <w:t xml:space="preserve">     </w:t>
      </w:r>
    </w:p>
    <w:p w:rsidR="00000000" w:rsidDel="00000000" w:rsidP="00000000" w:rsidRDefault="00000000" w:rsidRPr="00000000" w14:paraId="00000072">
      <w:pPr>
        <w:spacing w:after="0" w:before="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Shareholder’s Equity​</w:t>
      </w:r>
    </w:p>
    <w:p w:rsidR="00000000" w:rsidDel="00000000" w:rsidP="00000000" w:rsidRDefault="00000000" w:rsidRPr="00000000" w14:paraId="00000073">
      <w:pPr>
        <w:spacing w:after="240" w:before="240"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4">
      <w:pPr>
        <w:pStyle w:val="Heading2"/>
        <w:keepNext w:val="0"/>
        <w:keepLines w:val="0"/>
        <w:spacing w:after="80" w:line="240" w:lineRule="auto"/>
        <w:rPr>
          <w:rFonts w:ascii="Times New Roman" w:cs="Times New Roman" w:eastAsia="Times New Roman" w:hAnsi="Times New Roman"/>
          <w:b w:val="1"/>
          <w:color w:val="000000"/>
          <w:sz w:val="24"/>
          <w:szCs w:val="24"/>
        </w:rPr>
      </w:pPr>
      <w:bookmarkStart w:colFirst="0" w:colLast="0" w:name="_b580k7e5qetv" w:id="3"/>
      <w:bookmarkEnd w:id="3"/>
      <w:r w:rsidDel="00000000" w:rsidR="00000000" w:rsidRPr="00000000">
        <w:rPr>
          <w:rtl w:val="0"/>
        </w:rPr>
      </w:r>
    </w:p>
    <w:p w:rsidR="00000000" w:rsidDel="00000000" w:rsidP="00000000" w:rsidRDefault="00000000" w:rsidRPr="00000000" w14:paraId="00000075">
      <w:pPr>
        <w:pStyle w:val="Heading2"/>
        <w:keepNext w:val="0"/>
        <w:keepLines w:val="0"/>
        <w:spacing w:after="80" w:line="240" w:lineRule="auto"/>
        <w:rPr>
          <w:rFonts w:ascii="Times New Roman" w:cs="Times New Roman" w:eastAsia="Times New Roman" w:hAnsi="Times New Roman"/>
          <w:b w:val="1"/>
          <w:sz w:val="24"/>
          <w:szCs w:val="24"/>
        </w:rPr>
      </w:pPr>
      <w:bookmarkStart w:colFirst="0" w:colLast="0" w:name="_g3v7lhmm2u5o" w:id="4"/>
      <w:bookmarkEnd w:id="4"/>
      <w:r w:rsidDel="00000000" w:rsidR="00000000" w:rsidRPr="00000000">
        <w:rPr>
          <w:rtl w:val="0"/>
        </w:rPr>
      </w:r>
    </w:p>
    <w:p w:rsidR="00000000" w:rsidDel="00000000" w:rsidP="00000000" w:rsidRDefault="00000000" w:rsidRPr="00000000" w14:paraId="00000076">
      <w:pPr>
        <w:pStyle w:val="Heading2"/>
        <w:keepNext w:val="0"/>
        <w:keepLines w:val="0"/>
        <w:spacing w:after="80" w:line="240" w:lineRule="auto"/>
        <w:rPr>
          <w:rFonts w:ascii="Times New Roman" w:cs="Times New Roman" w:eastAsia="Times New Roman" w:hAnsi="Times New Roman"/>
          <w:b w:val="1"/>
          <w:sz w:val="24"/>
          <w:szCs w:val="24"/>
        </w:rPr>
      </w:pPr>
      <w:bookmarkStart w:colFirst="0" w:colLast="0" w:name="_i4ep1a8m8da" w:id="5"/>
      <w:bookmarkEnd w:id="5"/>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uzyfimoj44jb" w:id="6"/>
      <w:bookmarkEnd w:id="6"/>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zc5vz2rofddz" w:id="7"/>
      <w:bookmarkEnd w:id="7"/>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17jvcrz65jct" w:id="8"/>
      <w:bookmarkEnd w:id="8"/>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240" w:lineRule="auto"/>
        <w:rPr/>
      </w:pPr>
      <w:bookmarkStart w:colFirst="0" w:colLast="0" w:name="_yvxsmihy74i4" w:id="9"/>
      <w:bookmarkEnd w:id="9"/>
      <w:r w:rsidDel="00000000" w:rsidR="00000000" w:rsidRPr="00000000">
        <w:rPr>
          <w:rFonts w:ascii="Times New Roman" w:cs="Times New Roman" w:eastAsia="Times New Roman" w:hAnsi="Times New Roman"/>
          <w:b w:val="1"/>
          <w:color w:val="000000"/>
          <w:rtl w:val="0"/>
        </w:rPr>
        <w:t xml:space="preserve">Gross Profit from 2023 - 2020</w:t>
      </w:r>
      <w:r w:rsidDel="00000000" w:rsidR="00000000" w:rsidRPr="00000000">
        <w:rPr>
          <w:rtl w:val="0"/>
        </w:rPr>
      </w:r>
    </w:p>
    <w:tbl>
      <w:tblPr>
        <w:tblStyle w:val="Table2"/>
        <w:tblW w:w="1086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145"/>
        <w:gridCol w:w="1965"/>
        <w:gridCol w:w="2145"/>
        <w:gridCol w:w="2385"/>
        <w:tblGridChange w:id="0">
          <w:tblGrid>
            <w:gridCol w:w="2220"/>
            <w:gridCol w:w="2145"/>
            <w:gridCol w:w="1965"/>
            <w:gridCol w:w="2145"/>
            <w:gridCol w:w="238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SUNCOR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MURPHY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PROFIRE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CRC</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2023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21,924,000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1,518,194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30,532.0180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1,405,000</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2022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26,874,000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2,379,279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21,651.3900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1,821,000</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2021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17,560,000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1,279,536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11,401.0180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1,355,000</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2020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5,073,000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-8,005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9,526.2010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1,058,000</w:t>
            </w:r>
            <w:r w:rsidDel="00000000" w:rsidR="00000000" w:rsidRPr="00000000">
              <w:rPr>
                <w:rtl w:val="0"/>
              </w:rPr>
            </w:r>
          </w:p>
        </w:tc>
      </w:tr>
    </w:tbl>
    <w:p w:rsidR="00000000" w:rsidDel="00000000" w:rsidP="00000000" w:rsidRDefault="00000000" w:rsidRPr="00000000" w14:paraId="00000094">
      <w:pPr>
        <w:pStyle w:val="Heading3"/>
        <w:keepNext w:val="0"/>
        <w:keepLines w:val="0"/>
        <w:spacing w:before="280" w:line="240" w:lineRule="auto"/>
        <w:ind w:left="0" w:firstLine="0"/>
        <w:rPr>
          <w:rFonts w:ascii="Times New Roman" w:cs="Times New Roman" w:eastAsia="Times New Roman" w:hAnsi="Times New Roman"/>
          <w:i w:val="1"/>
          <w:color w:val="000000"/>
          <w:sz w:val="20"/>
          <w:szCs w:val="20"/>
        </w:rPr>
      </w:pPr>
      <w:bookmarkStart w:colFirst="0" w:colLast="0" w:name="_oij3zcty43cd" w:id="10"/>
      <w:bookmarkEnd w:id="10"/>
      <w:r w:rsidDel="00000000" w:rsidR="00000000" w:rsidRPr="00000000">
        <w:rPr>
          <w:rFonts w:ascii="Times New Roman" w:cs="Times New Roman" w:eastAsia="Times New Roman" w:hAnsi="Times New Roman"/>
          <w:i w:val="1"/>
          <w:color w:val="000000"/>
          <w:sz w:val="20"/>
          <w:szCs w:val="20"/>
          <w:rtl w:val="0"/>
        </w:rPr>
        <w:t xml:space="preserve">*There was no gross profit for California Resources Corporation in the 2020, but it was present in 2019</w:t>
      </w:r>
    </w:p>
    <w:p w:rsidR="00000000" w:rsidDel="00000000" w:rsidP="00000000" w:rsidRDefault="00000000" w:rsidRPr="00000000" w14:paraId="00000095">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yfln4iblpsni" w:id="11"/>
      <w:bookmarkEnd w:id="11"/>
      <w:r w:rsidDel="00000000" w:rsidR="00000000" w:rsidRPr="00000000">
        <w:rPr>
          <w:rtl w:val="0"/>
        </w:rPr>
      </w:r>
    </w:p>
    <w:p w:rsidR="00000000" w:rsidDel="00000000" w:rsidP="00000000" w:rsidRDefault="00000000" w:rsidRPr="00000000" w14:paraId="00000096">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4sd74ue1y3qz" w:id="12"/>
      <w:bookmarkEnd w:id="12"/>
      <w:r w:rsidDel="00000000" w:rsidR="00000000" w:rsidRPr="00000000">
        <w:rPr>
          <w:rFonts w:ascii="Times New Roman" w:cs="Times New Roman" w:eastAsia="Times New Roman" w:hAnsi="Times New Roman"/>
          <w:b w:val="1"/>
          <w:color w:val="000000"/>
          <w:sz w:val="26"/>
          <w:szCs w:val="26"/>
          <w:rtl w:val="0"/>
        </w:rPr>
        <w:t xml:space="preserve">Gross Profit</w:t>
      </w:r>
      <w:r w:rsidDel="00000000" w:rsidR="00000000" w:rsidRPr="00000000">
        <w:rPr>
          <w:rFonts w:ascii="Times New Roman" w:cs="Times New Roman" w:eastAsia="Times New Roman" w:hAnsi="Times New Roman"/>
          <w:b w:val="1"/>
          <w:color w:val="000000"/>
          <w:sz w:val="26"/>
          <w:szCs w:val="26"/>
          <w:rtl w:val="0"/>
        </w:rPr>
        <w:t xml:space="preserve"> Growth (GPG)</w:t>
      </w:r>
    </w:p>
    <w:p w:rsidR="00000000" w:rsidDel="00000000" w:rsidP="00000000" w:rsidRDefault="00000000" w:rsidRPr="00000000" w14:paraId="00000097">
      <w:pPr>
        <w:spacing w:after="0" w:before="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w:t>
        <w:tab/>
        <w:t xml:space="preserve">=  </w:t>
      </w:r>
      <w:r w:rsidDel="00000000" w:rsidR="00000000" w:rsidRPr="00000000">
        <w:rPr>
          <w:rFonts w:ascii="Gungsuh" w:cs="Gungsuh" w:eastAsia="Gungsuh" w:hAnsi="Gungsuh"/>
          <w:sz w:val="24"/>
          <w:szCs w:val="24"/>
          <w:u w:val="single"/>
          <w:rtl w:val="0"/>
        </w:rPr>
        <w:t xml:space="preserve">   Current Year’s Gross Profit −  Previous Year’s Gross Profit   </w:t>
      </w:r>
      <w:r w:rsidDel="00000000" w:rsidR="00000000" w:rsidRPr="00000000">
        <w:rPr>
          <w:rFonts w:ascii="Times New Roman" w:cs="Times New Roman" w:eastAsia="Times New Roman" w:hAnsi="Times New Roman"/>
          <w:sz w:val="24"/>
          <w:szCs w:val="24"/>
          <w:rtl w:val="0"/>
        </w:rPr>
        <w:t xml:space="preserve"> × 100</w:t>
      </w:r>
    </w:p>
    <w:p w:rsidR="00000000" w:rsidDel="00000000" w:rsidP="00000000" w:rsidRDefault="00000000" w:rsidRPr="00000000" w14:paraId="00000098">
      <w:pPr>
        <w:spacing w:after="0" w:before="2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Year’s Gross Profit</w:t>
      </w:r>
    </w:p>
    <w:p w:rsidR="00000000" w:rsidDel="00000000" w:rsidP="00000000" w:rsidRDefault="00000000" w:rsidRPr="00000000" w14:paraId="00000099">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2022 to 2023: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0" w:before="20" w:line="24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u w:val="single"/>
          <w:rtl w:val="0"/>
        </w:rPr>
        <w:t xml:space="preserve">21,924,000−26,874,000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Gungsuh" w:cs="Gungsuh" w:eastAsia="Gungsuh" w:hAnsi="Gungsuh"/>
          <w:sz w:val="24"/>
          <w:szCs w:val="24"/>
          <w:u w:val="single"/>
          <w:rtl w:val="0"/>
        </w:rPr>
        <w:t xml:space="preserve">−4,950,000      </w:t>
      </w:r>
      <w:r w:rsidDel="00000000" w:rsidR="00000000" w:rsidRPr="00000000">
        <w:rPr>
          <w:rFonts w:ascii="Gungsuh" w:cs="Gungsuh" w:eastAsia="Gungsuh" w:hAnsi="Gungsuh"/>
          <w:sz w:val="24"/>
          <w:szCs w:val="24"/>
          <w:rtl w:val="0"/>
        </w:rPr>
        <w:t xml:space="preserve">×   100    =  −18.41%</w:t>
      </w:r>
    </w:p>
    <w:p w:rsidR="00000000" w:rsidDel="00000000" w:rsidP="00000000" w:rsidRDefault="00000000" w:rsidRPr="00000000" w14:paraId="0000009B">
      <w:pPr>
        <w:spacing w:after="0" w:before="2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26,874,000 </w:t>
        <w:tab/>
        <w:tab/>
        <w:t xml:space="preserve">  26,874,000</w:t>
      </w:r>
    </w:p>
    <w:p w:rsidR="00000000" w:rsidDel="00000000" w:rsidP="00000000" w:rsidRDefault="00000000" w:rsidRPr="00000000" w14:paraId="0000009C">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2021 to 2022:</w:t>
      </w:r>
    </w:p>
    <w:p w:rsidR="00000000" w:rsidDel="00000000" w:rsidP="00000000" w:rsidRDefault="00000000" w:rsidRPr="00000000" w14:paraId="0000009D">
      <w:pPr>
        <w:spacing w:after="0" w:before="20" w:line="24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u w:val="single"/>
          <w:rtl w:val="0"/>
        </w:rPr>
        <w:t xml:space="preserve"> 26,874,000 −  17,560,000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9,314,000</w:t>
      </w:r>
      <w:r w:rsidDel="00000000" w:rsidR="00000000" w:rsidRPr="00000000">
        <w:rPr>
          <w:rFonts w:ascii="Times New Roman" w:cs="Times New Roman" w:eastAsia="Times New Roman" w:hAnsi="Times New Roman"/>
          <w:sz w:val="24"/>
          <w:szCs w:val="24"/>
          <w:rtl w:val="0"/>
        </w:rPr>
        <w:t xml:space="preserve">    ×  100      = 53.56%</w:t>
      </w:r>
    </w:p>
    <w:p w:rsidR="00000000" w:rsidDel="00000000" w:rsidP="00000000" w:rsidRDefault="00000000" w:rsidRPr="00000000" w14:paraId="0000009E">
      <w:pPr>
        <w:spacing w:after="0" w:before="2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17,560,000 </w:t>
        <w:tab/>
        <w:tab/>
        <w:t xml:space="preserve">      17,560,000</w:t>
      </w:r>
    </w:p>
    <w:p w:rsidR="00000000" w:rsidDel="00000000" w:rsidP="00000000" w:rsidRDefault="00000000" w:rsidRPr="00000000" w14:paraId="0000009F">
      <w:pPr>
        <w:spacing w:after="0" w:before="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2020 to 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0" w:before="20" w:line="24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u w:val="single"/>
          <w:rtl w:val="0"/>
        </w:rPr>
        <w:t xml:space="preserve">17,560,000   −  5,073,000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12,487,000</w:t>
      </w:r>
      <w:r w:rsidDel="00000000" w:rsidR="00000000" w:rsidRPr="00000000">
        <w:rPr>
          <w:rFonts w:ascii="Times New Roman" w:cs="Times New Roman" w:eastAsia="Times New Roman" w:hAnsi="Times New Roman"/>
          <w:sz w:val="24"/>
          <w:szCs w:val="24"/>
          <w:rtl w:val="0"/>
        </w:rPr>
        <w:t xml:space="preserve">   ×   100         = 246.10%</w:t>
      </w:r>
    </w:p>
    <w:p w:rsidR="00000000" w:rsidDel="00000000" w:rsidP="00000000" w:rsidRDefault="00000000" w:rsidRPr="00000000" w14:paraId="000000A2">
      <w:pPr>
        <w:spacing w:after="0" w:before="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5,073,000</w:t>
        <w:tab/>
        <w:tab/>
        <w:t xml:space="preserve">      5,073,000</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Gross Profit Growth   for Suncor Energy Inc</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Gross Profit Growth :  </w:t>
      </w:r>
      <w:r w:rsidDel="00000000" w:rsidR="00000000" w:rsidRPr="00000000">
        <w:rPr>
          <w:rFonts w:ascii="Times New Roman" w:cs="Times New Roman" w:eastAsia="Times New Roman" w:hAnsi="Times New Roman"/>
          <w:sz w:val="24"/>
          <w:szCs w:val="24"/>
          <w:u w:val="single"/>
          <w:rtl w:val="0"/>
        </w:rPr>
        <w:t xml:space="preserve">-18.42 ×53.06 ×246.12</w:t>
      </w:r>
      <w:r w:rsidDel="00000000" w:rsidR="00000000" w:rsidRPr="00000000">
        <w:rPr>
          <w:rFonts w:ascii="Times New Roman" w:cs="Times New Roman" w:eastAsia="Times New Roman" w:hAnsi="Times New Roman"/>
          <w:sz w:val="24"/>
          <w:szCs w:val="24"/>
          <w:rtl w:val="0"/>
        </w:rPr>
        <w:t xml:space="preserve"> =  93.75%</w:t>
      </w:r>
    </w:p>
    <w:p w:rsidR="00000000" w:rsidDel="00000000" w:rsidP="00000000" w:rsidRDefault="00000000" w:rsidRPr="00000000" w14:paraId="000000A9">
      <w:pPr>
        <w:spacing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3</w:t>
      </w:r>
    </w:p>
    <w:p w:rsidR="00000000" w:rsidDel="00000000" w:rsidP="00000000" w:rsidRDefault="00000000" w:rsidRPr="00000000" w14:paraId="000000AA">
      <w:pPr>
        <w:spacing w:line="240"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mathematical workings above explains how the Average Gross Profit Growth was generated for each company, and every other data in the dataset were obtained from  Finviz and Yahoo Finance.</w:t>
      </w:r>
    </w:p>
    <w:p w:rsidR="00000000" w:rsidDel="00000000" w:rsidP="00000000" w:rsidRDefault="00000000" w:rsidRPr="00000000" w14:paraId="000000A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Gross Profit Growth (2023 - 2020)</w:t>
      </w:r>
    </w:p>
    <w:tbl>
      <w:tblPr>
        <w:tblStyle w:val="Table3"/>
        <w:tblW w:w="993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235"/>
        <w:gridCol w:w="1350"/>
        <w:gridCol w:w="1230"/>
        <w:gridCol w:w="2520"/>
        <w:gridCol w:w="120"/>
        <w:tblGridChange w:id="0">
          <w:tblGrid>
            <w:gridCol w:w="2475"/>
            <w:gridCol w:w="2235"/>
            <w:gridCol w:w="1350"/>
            <w:gridCol w:w="1230"/>
            <w:gridCol w:w="2520"/>
            <w:gridCol w:w="1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Metric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SUNCOR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MURPHY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PROFIRE</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CALIFORNIA RESOURCES CORP</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Fonts w:ascii="Times New Roman" w:cs="Times New Roman" w:eastAsia="Times New Roman" w:hAnsi="Times New Roman"/>
                <w:sz w:val="20"/>
                <w:szCs w:val="20"/>
                <w:rtl w:val="0"/>
              </w:rPr>
              <w:t xml:space="preserve">GPG 2022 to 2023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Fonts w:ascii="Times New Roman" w:cs="Times New Roman" w:eastAsia="Times New Roman" w:hAnsi="Times New Roman"/>
                <w:rtl w:val="0"/>
              </w:rPr>
              <w:t xml:space="preserve">-18.41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rFonts w:ascii="Times New Roman" w:cs="Times New Roman" w:eastAsia="Times New Roman" w:hAnsi="Times New Roman"/>
                <w:rtl w:val="0"/>
              </w:rPr>
              <w:t xml:space="preserve">-36.18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rFonts w:ascii="Times New Roman" w:cs="Times New Roman" w:eastAsia="Times New Roman" w:hAnsi="Times New Roman"/>
                <w:rtl w:val="0"/>
              </w:rPr>
              <w:t xml:space="preserve">-22.88</w:t>
            </w:r>
            <w:r w:rsidDel="00000000" w:rsidR="00000000" w:rsidRPr="00000000">
              <w:rPr>
                <w:rtl w:val="0"/>
              </w:rPr>
            </w:r>
          </w:p>
        </w:tc>
        <w:tc>
          <w:tcPr>
            <w:tcBorders>
              <w:top w:color="000000"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Fonts w:ascii="Times New Roman" w:cs="Times New Roman" w:eastAsia="Times New Roman" w:hAnsi="Times New Roman"/>
                <w:sz w:val="20"/>
                <w:szCs w:val="20"/>
                <w:rtl w:val="0"/>
              </w:rPr>
              <w:t xml:space="preserve">GPG 2021 to 2022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Fonts w:ascii="Times New Roman" w:cs="Times New Roman" w:eastAsia="Times New Roman" w:hAnsi="Times New Roman"/>
                <w:rtl w:val="0"/>
              </w:rPr>
              <w:t xml:space="preserve">53.56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rFonts w:ascii="Times New Roman" w:cs="Times New Roman" w:eastAsia="Times New Roman" w:hAnsi="Times New Roman"/>
                <w:rtl w:val="0"/>
              </w:rPr>
              <w:t xml:space="preserve">85.94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rFonts w:ascii="Times New Roman" w:cs="Times New Roman" w:eastAsia="Times New Roman" w:hAnsi="Times New Roman"/>
                <w:rtl w:val="0"/>
              </w:rPr>
              <w:t xml:space="preserve">89.83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rFonts w:ascii="Times New Roman" w:cs="Times New Roman" w:eastAsia="Times New Roman" w:hAnsi="Times New Roman"/>
                <w:rtl w:val="0"/>
              </w:rPr>
              <w:t xml:space="preserve">34.47</w:t>
            </w:r>
            <w:r w:rsidDel="00000000" w:rsidR="00000000" w:rsidRPr="00000000">
              <w:rPr>
                <w:rtl w:val="0"/>
              </w:rPr>
            </w:r>
          </w:p>
        </w:tc>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Fonts w:ascii="Times New Roman" w:cs="Times New Roman" w:eastAsia="Times New Roman" w:hAnsi="Times New Roman"/>
                <w:sz w:val="20"/>
                <w:szCs w:val="20"/>
                <w:rtl w:val="0"/>
              </w:rPr>
              <w:t xml:space="preserve">GPG 2020 to 2021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rFonts w:ascii="Times New Roman" w:cs="Times New Roman" w:eastAsia="Times New Roman" w:hAnsi="Times New Roman"/>
                <w:rtl w:val="0"/>
              </w:rPr>
              <w:t xml:space="preserve">246.10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rFonts w:ascii="Times New Roman" w:cs="Times New Roman" w:eastAsia="Times New Roman" w:hAnsi="Times New Roman"/>
                <w:rtl w:val="0"/>
              </w:rPr>
              <w:t xml:space="preserve">15985.54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rFonts w:ascii="Times New Roman" w:cs="Times New Roman" w:eastAsia="Times New Roman" w:hAnsi="Times New Roman"/>
                <w:rtl w:val="0"/>
              </w:rPr>
              <w:t xml:space="preserve">19.69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rFonts w:ascii="Times New Roman" w:cs="Times New Roman" w:eastAsia="Times New Roman" w:hAnsi="Times New Roman"/>
                <w:rtl w:val="0"/>
              </w:rPr>
              <w:t xml:space="preserve">28.10</w:t>
            </w:r>
            <w:r w:rsidDel="00000000" w:rsidR="00000000" w:rsidRPr="00000000">
              <w:rPr>
                <w:rtl w:val="0"/>
              </w:rPr>
            </w:r>
          </w:p>
        </w:tc>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Average GPG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93.75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5,345.1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50.16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13.23</w:t>
            </w:r>
            <w:r w:rsidDel="00000000" w:rsidR="00000000" w:rsidRPr="00000000">
              <w:rPr>
                <w:rtl w:val="0"/>
              </w:rPr>
            </w:r>
          </w:p>
        </w:tc>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r>
    </w:tbl>
    <w:p w:rsidR="00000000" w:rsidDel="00000000" w:rsidP="00000000" w:rsidRDefault="00000000" w:rsidRPr="00000000" w14:paraId="000000CE">
      <w:pPr>
        <w:pStyle w:val="Heading2"/>
        <w:keepNext w:val="0"/>
        <w:keepLines w:val="0"/>
        <w:spacing w:after="80" w:line="240" w:lineRule="auto"/>
        <w:rPr>
          <w:rFonts w:ascii="Georgia" w:cs="Georgia" w:eastAsia="Georgia" w:hAnsi="Georgia"/>
          <w:b w:val="1"/>
          <w:sz w:val="34"/>
          <w:szCs w:val="34"/>
        </w:rPr>
      </w:pPr>
      <w:bookmarkStart w:colFirst="0" w:colLast="0" w:name="_8yd8oc9m5vw" w:id="13"/>
      <w:bookmarkEnd w:id="13"/>
      <w:r w:rsidDel="00000000" w:rsidR="00000000" w:rsidRPr="00000000">
        <w:rPr>
          <w:rtl w:val="0"/>
        </w:rPr>
      </w:r>
    </w:p>
    <w:p w:rsidR="00000000" w:rsidDel="00000000" w:rsidP="00000000" w:rsidRDefault="00000000" w:rsidRPr="00000000" w14:paraId="000000CF">
      <w:pPr>
        <w:pStyle w:val="Heading2"/>
        <w:keepNext w:val="0"/>
        <w:keepLines w:val="0"/>
        <w:spacing w:after="80" w:line="240" w:lineRule="auto"/>
        <w:rPr>
          <w:rFonts w:ascii="Times New Roman" w:cs="Times New Roman" w:eastAsia="Times New Roman" w:hAnsi="Times New Roman"/>
          <w:b w:val="1"/>
          <w:sz w:val="26"/>
          <w:szCs w:val="26"/>
        </w:rPr>
      </w:pPr>
      <w:bookmarkStart w:colFirst="0" w:colLast="0" w:name="_kt1kj4xkogcg" w:id="14"/>
      <w:bookmarkEnd w:id="14"/>
      <w:r w:rsidDel="00000000" w:rsidR="00000000" w:rsidRPr="00000000">
        <w:rPr>
          <w:rFonts w:ascii="Times New Roman" w:cs="Times New Roman" w:eastAsia="Times New Roman" w:hAnsi="Times New Roman"/>
          <w:b w:val="1"/>
          <w:sz w:val="26"/>
          <w:szCs w:val="26"/>
          <w:rtl w:val="0"/>
        </w:rPr>
        <w:t xml:space="preserve">Comparative Analysis with Sector Peers</w:t>
      </w:r>
    </w:p>
    <w:p w:rsidR="00000000" w:rsidDel="00000000" w:rsidP="00000000" w:rsidRDefault="00000000" w:rsidRPr="00000000" w14:paraId="000000D0">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lod2f5rwtj3n" w:id="15"/>
      <w:bookmarkEnd w:id="15"/>
      <w:r w:rsidDel="00000000" w:rsidR="00000000" w:rsidRPr="00000000">
        <w:rPr>
          <w:rFonts w:ascii="Times New Roman" w:cs="Times New Roman" w:eastAsia="Times New Roman" w:hAnsi="Times New Roman"/>
          <w:b w:val="1"/>
          <w:color w:val="000000"/>
          <w:sz w:val="24"/>
          <w:szCs w:val="24"/>
          <w:rtl w:val="0"/>
        </w:rPr>
        <w:t xml:space="preserve">Peer Companies Analyzed</w:t>
      </w:r>
    </w:p>
    <w:p w:rsidR="00000000" w:rsidDel="00000000" w:rsidP="00000000" w:rsidRDefault="00000000" w:rsidRPr="00000000" w14:paraId="000000D1">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Civitas Resources Inc (CIVI), USA</w:t>
      </w:r>
    </w:p>
    <w:p w:rsidR="00000000" w:rsidDel="00000000" w:rsidP="00000000" w:rsidRDefault="00000000" w:rsidRPr="00000000" w14:paraId="000000D2">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Teekay Tankers Ltd (TNK), Bermuda</w:t>
      </w:r>
    </w:p>
    <w:p w:rsidR="00000000" w:rsidDel="00000000" w:rsidP="00000000" w:rsidRDefault="00000000" w:rsidRPr="00000000" w14:paraId="000000D3">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Kosmos Energy Ltd (KOS), USA</w:t>
      </w:r>
    </w:p>
    <w:p w:rsidR="00000000" w:rsidDel="00000000" w:rsidP="00000000" w:rsidRDefault="00000000" w:rsidRPr="00000000" w14:paraId="000000D4">
      <w:pPr>
        <w:pStyle w:val="Heading2"/>
        <w:keepNext w:val="0"/>
        <w:keepLines w:val="0"/>
        <w:spacing w:after="80" w:line="240" w:lineRule="auto"/>
        <w:rPr>
          <w:rFonts w:ascii="Times New Roman" w:cs="Times New Roman" w:eastAsia="Times New Roman" w:hAnsi="Times New Roman"/>
        </w:rPr>
      </w:pPr>
      <w:bookmarkStart w:colFirst="0" w:colLast="0" w:name="_j4sl0y7w0usr" w:id="16"/>
      <w:bookmarkEnd w:id="16"/>
      <w:r w:rsidDel="00000000" w:rsidR="00000000" w:rsidRPr="00000000">
        <w:rPr>
          <w:rFonts w:ascii="Times New Roman" w:cs="Times New Roman" w:eastAsia="Times New Roman" w:hAnsi="Times New Roman"/>
          <w:b w:val="1"/>
          <w:sz w:val="24"/>
          <w:szCs w:val="24"/>
          <w:rtl w:val="0"/>
        </w:rPr>
        <w:t xml:space="preserve">Comparative Analysis for the selected Peers Companies</w:t>
      </w:r>
      <w:r w:rsidDel="00000000" w:rsidR="00000000" w:rsidRPr="00000000">
        <w:rPr>
          <w:rtl w:val="0"/>
        </w:rPr>
      </w:r>
    </w:p>
    <w:tbl>
      <w:tblPr>
        <w:tblStyle w:val="Table4"/>
        <w:tblpPr w:leftFromText="180" w:rightFromText="180" w:topFromText="180" w:bottomFromText="180" w:vertAnchor="text" w:horzAnchor="text" w:tblpX="-780" w:tblpY="0"/>
        <w:tblW w:w="885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50"/>
        <w:gridCol w:w="795"/>
        <w:gridCol w:w="780"/>
        <w:gridCol w:w="720"/>
        <w:gridCol w:w="1155"/>
        <w:gridCol w:w="1110"/>
        <w:gridCol w:w="1065"/>
        <w:tblGridChange w:id="0">
          <w:tblGrid>
            <w:gridCol w:w="1875"/>
            <w:gridCol w:w="1350"/>
            <w:gridCol w:w="795"/>
            <w:gridCol w:w="780"/>
            <w:gridCol w:w="720"/>
            <w:gridCol w:w="1155"/>
            <w:gridCol w:w="1110"/>
            <w:gridCol w:w="1065"/>
          </w:tblGrid>
        </w:tblGridChange>
      </w:tblGrid>
      <w:tr>
        <w:trPr>
          <w:cantSplit w:val="0"/>
          <w:tblHeader w:val="0"/>
        </w:trPr>
        <w:tc>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Name</w:t>
            </w:r>
          </w:p>
        </w:tc>
        <w:tc>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Market Cap</w:t>
            </w:r>
          </w:p>
        </w:tc>
        <w:tc>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 </w:t>
            </w:r>
          </w:p>
        </w:tc>
        <w:tc>
          <w:tcPr/>
          <w:p w:rsidR="00000000" w:rsidDel="00000000" w:rsidP="00000000" w:rsidRDefault="00000000" w:rsidRPr="00000000" w14:paraId="000000D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P/B </w:t>
            </w:r>
          </w:p>
        </w:tc>
        <w:tc>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P/S </w:t>
            </w:r>
          </w:p>
        </w:tc>
        <w:tc>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Margin</w:t>
            </w:r>
          </w:p>
        </w:tc>
        <w:tc>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ROE</w:t>
            </w:r>
          </w:p>
        </w:tc>
        <w:tc>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Debt/EQ</w:t>
            </w:r>
          </w:p>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Civitas</w:t>
            </w:r>
          </w:p>
        </w:tc>
        <w:tc>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$7.28B</w:t>
            </w:r>
          </w:p>
        </w:tc>
        <w:tc>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8.85</w:t>
            </w:r>
          </w:p>
        </w:tc>
        <w:tc>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p>
        </w:tc>
        <w:tc>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39.22%</w:t>
            </w:r>
          </w:p>
        </w:tc>
        <w:tc>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12.91%</w:t>
            </w:r>
          </w:p>
        </w:tc>
        <w:tc>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w:t>
            </w:r>
          </w:p>
        </w:tc>
      </w:tr>
      <w:tr>
        <w:trPr>
          <w:cantSplit w:val="0"/>
          <w:tblHeader w:val="0"/>
        </w:trPr>
        <w:tc>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Teekay</w:t>
            </w:r>
          </w:p>
        </w:tc>
        <w:tc>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$2.17B</w:t>
            </w:r>
          </w:p>
        </w:tc>
        <w:tc>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4.48</w:t>
            </w:r>
          </w:p>
        </w:tc>
        <w:tc>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p>
        </w:tc>
        <w:tc>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w:t>
            </w:r>
          </w:p>
        </w:tc>
        <w:tc>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39.60%</w:t>
            </w:r>
          </w:p>
        </w:tc>
        <w:tc>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33.68%</w:t>
            </w:r>
          </w:p>
        </w:tc>
        <w:tc>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r>
      <w:tr>
        <w:trPr>
          <w:cantSplit w:val="0"/>
          <w:tblHeader w:val="0"/>
        </w:trPr>
        <w:tc>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Kosmos</w:t>
            </w:r>
          </w:p>
        </w:tc>
        <w:tc>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$2.71B</w:t>
            </w:r>
          </w:p>
        </w:tc>
        <w:tc>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12.46</w:t>
            </w:r>
          </w:p>
        </w:tc>
        <w:tc>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2.53</w:t>
            </w:r>
          </w:p>
        </w:tc>
        <w:tc>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p>
        </w:tc>
        <w:tc>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49.57%</w:t>
            </w:r>
          </w:p>
        </w:tc>
        <w:tc>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22.86%</w:t>
            </w:r>
          </w:p>
        </w:tc>
        <w:tc>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nwhdw3b8c79t" w:id="17"/>
      <w:bookmarkEnd w:id="17"/>
      <w:r w:rsidDel="00000000" w:rsidR="00000000" w:rsidRPr="00000000">
        <w:rPr>
          <w:rtl w:val="0"/>
        </w:rPr>
      </w:r>
    </w:p>
    <w:p w:rsidR="00000000" w:rsidDel="00000000" w:rsidP="00000000" w:rsidRDefault="00000000" w:rsidRPr="00000000" w14:paraId="000000F8">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v02w5m649yub" w:id="18"/>
      <w:bookmarkEnd w:id="18"/>
      <w:r w:rsidDel="00000000" w:rsidR="00000000" w:rsidRPr="00000000">
        <w:rPr>
          <w:rtl w:val="0"/>
        </w:rPr>
      </w:r>
    </w:p>
    <w:p w:rsidR="00000000" w:rsidDel="00000000" w:rsidP="00000000" w:rsidRDefault="00000000" w:rsidRPr="00000000" w14:paraId="000000F9">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3a9h1pqkfpec" w:id="19"/>
      <w:bookmarkEnd w:id="19"/>
      <w:r w:rsidDel="00000000" w:rsidR="00000000" w:rsidRPr="00000000">
        <w:rPr>
          <w:rtl w:val="0"/>
        </w:rPr>
      </w:r>
    </w:p>
    <w:p w:rsidR="00000000" w:rsidDel="00000000" w:rsidP="00000000" w:rsidRDefault="00000000" w:rsidRPr="00000000" w14:paraId="000000FA">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q22rqm1p4sgg" w:id="20"/>
      <w:bookmarkEnd w:id="20"/>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gvp8vdyzfh96" w:id="21"/>
      <w:bookmarkEnd w:id="21"/>
      <w:r w:rsidDel="00000000" w:rsidR="00000000" w:rsidRPr="00000000">
        <w:rPr>
          <w:rFonts w:ascii="Times New Roman" w:cs="Times New Roman" w:eastAsia="Times New Roman" w:hAnsi="Times New Roman"/>
          <w:b w:val="1"/>
          <w:color w:val="000000"/>
          <w:rtl w:val="0"/>
        </w:rPr>
        <w:t xml:space="preserve">Gross Profit from 2023 - 2020 for sector peers</w:t>
      </w:r>
    </w:p>
    <w:tbl>
      <w:tblPr>
        <w:tblStyle w:val="Table5"/>
        <w:tblpPr w:leftFromText="180" w:rightFromText="180" w:topFromText="180" w:bottomFromText="180" w:vertAnchor="text" w:horzAnchor="text" w:tblpX="-330" w:tblpY="0"/>
        <w:tblW w:w="8475.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145"/>
        <w:gridCol w:w="1965"/>
        <w:gridCol w:w="2145"/>
        <w:tblGridChange w:id="0">
          <w:tblGrid>
            <w:gridCol w:w="2220"/>
            <w:gridCol w:w="2145"/>
            <w:gridCol w:w="1965"/>
            <w:gridCol w:w="214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CIVITAS($)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TEEKAY($)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KOSMOS($)</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2023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1,671,035</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spacing w:line="240" w:lineRule="auto"/>
              <w:jc w:val="right"/>
              <w:rPr>
                <w:sz w:val="20"/>
                <w:szCs w:val="20"/>
              </w:rPr>
            </w:pPr>
            <w:r w:rsidDel="00000000" w:rsidR="00000000" w:rsidRPr="00000000">
              <w:rPr>
                <w:rFonts w:ascii="Times New Roman" w:cs="Times New Roman" w:eastAsia="Times New Roman" w:hAnsi="Times New Roman"/>
                <w:sz w:val="24"/>
                <w:szCs w:val="24"/>
                <w:rtl w:val="0"/>
              </w:rPr>
              <w:t xml:space="preserve">572,734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3">
            <w:pPr>
              <w:spacing w:line="240" w:lineRule="auto"/>
              <w:jc w:val="right"/>
              <w:rPr>
                <w:sz w:val="20"/>
                <w:szCs w:val="20"/>
              </w:rPr>
            </w:pPr>
            <w:r w:rsidDel="00000000" w:rsidR="00000000" w:rsidRPr="00000000">
              <w:rPr>
                <w:rFonts w:ascii="Times New Roman" w:cs="Times New Roman" w:eastAsia="Times New Roman" w:hAnsi="Times New Roman"/>
                <w:sz w:val="24"/>
                <w:szCs w:val="24"/>
                <w:rtl w:val="0"/>
              </w:rPr>
              <w:t xml:space="preserve">866,584</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2022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2,485,548</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6">
            <w:pPr>
              <w:spacing w:line="240" w:lineRule="auto"/>
              <w:jc w:val="right"/>
              <w:rPr>
                <w:sz w:val="20"/>
                <w:szCs w:val="20"/>
              </w:rPr>
            </w:pPr>
            <w:r w:rsidDel="00000000" w:rsidR="00000000" w:rsidRPr="00000000">
              <w:rPr>
                <w:rFonts w:ascii="Times New Roman" w:cs="Times New Roman" w:eastAsia="Times New Roman" w:hAnsi="Times New Roman"/>
                <w:sz w:val="24"/>
                <w:szCs w:val="24"/>
                <w:rtl w:val="0"/>
              </w:rPr>
              <w:t xml:space="preserve">290,652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spacing w:line="240" w:lineRule="auto"/>
              <w:jc w:val="right"/>
              <w:rPr>
                <w:sz w:val="20"/>
                <w:szCs w:val="20"/>
              </w:rPr>
            </w:pPr>
            <w:r w:rsidDel="00000000" w:rsidR="00000000" w:rsidRPr="00000000">
              <w:rPr>
                <w:rFonts w:ascii="Times New Roman" w:cs="Times New Roman" w:eastAsia="Times New Roman" w:hAnsi="Times New Roman"/>
                <w:sz w:val="24"/>
                <w:szCs w:val="24"/>
                <w:rtl w:val="0"/>
              </w:rPr>
              <w:t xml:space="preserve">1,344,043</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2021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569,359</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A">
            <w:pPr>
              <w:spacing w:line="240" w:lineRule="auto"/>
              <w:jc w:val="right"/>
              <w:rPr>
                <w:sz w:val="20"/>
                <w:szCs w:val="20"/>
              </w:rPr>
            </w:pPr>
            <w:r w:rsidDel="00000000" w:rsidR="00000000" w:rsidRPr="00000000">
              <w:rPr>
                <w:rFonts w:ascii="Times New Roman" w:cs="Times New Roman" w:eastAsia="Times New Roman" w:hAnsi="Times New Roman"/>
                <w:sz w:val="24"/>
                <w:szCs w:val="24"/>
                <w:rtl w:val="0"/>
              </w:rPr>
              <w:t xml:space="preserve">-58,012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spacing w:line="240" w:lineRule="auto"/>
              <w:jc w:val="right"/>
              <w:rPr>
                <w:sz w:val="20"/>
                <w:szCs w:val="20"/>
              </w:rPr>
            </w:pPr>
            <w:r w:rsidDel="00000000" w:rsidR="00000000" w:rsidRPr="00000000">
              <w:rPr>
                <w:rFonts w:ascii="Times New Roman" w:cs="Times New Roman" w:eastAsia="Times New Roman" w:hAnsi="Times New Roman"/>
                <w:sz w:val="24"/>
                <w:szCs w:val="24"/>
                <w:rtl w:val="0"/>
              </w:rPr>
              <w:t xml:space="preserve">518,786</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b w:val="1"/>
                <w:sz w:val="20"/>
                <w:szCs w:val="20"/>
              </w:rPr>
            </w:pPr>
            <w:r w:rsidDel="00000000" w:rsidR="00000000" w:rsidRPr="00000000">
              <w:rPr>
                <w:rFonts w:ascii="Times New Roman" w:cs="Times New Roman" w:eastAsia="Times New Roman" w:hAnsi="Times New Roman"/>
                <w:b w:val="1"/>
                <w:sz w:val="20"/>
                <w:szCs w:val="20"/>
                <w:rtl w:val="0"/>
              </w:rPr>
              <w:t xml:space="preserve">2020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69,224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spacing w:line="240" w:lineRule="auto"/>
              <w:jc w:val="right"/>
              <w:rPr>
                <w:sz w:val="20"/>
                <w:szCs w:val="20"/>
              </w:rPr>
            </w:pPr>
            <w:r w:rsidDel="00000000" w:rsidR="00000000" w:rsidRPr="00000000">
              <w:rPr>
                <w:rFonts w:ascii="Times New Roman" w:cs="Times New Roman" w:eastAsia="Times New Roman" w:hAnsi="Times New Roman"/>
                <w:sz w:val="24"/>
                <w:szCs w:val="24"/>
                <w:rtl w:val="0"/>
              </w:rPr>
              <w:t xml:space="preserve">251,423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spacing w:line="240" w:lineRule="auto"/>
              <w:jc w:val="right"/>
              <w:rPr>
                <w:sz w:val="20"/>
                <w:szCs w:val="20"/>
              </w:rPr>
            </w:pPr>
            <w:r w:rsidDel="00000000" w:rsidR="00000000" w:rsidRPr="00000000">
              <w:rPr>
                <w:rFonts w:ascii="Times New Roman" w:cs="Times New Roman" w:eastAsia="Times New Roman" w:hAnsi="Times New Roman"/>
                <w:sz w:val="24"/>
                <w:szCs w:val="24"/>
                <w:rtl w:val="0"/>
              </w:rPr>
              <w:t xml:space="preserve">-20,306</w:t>
            </w:r>
            <w:r w:rsidDel="00000000" w:rsidR="00000000" w:rsidRPr="00000000">
              <w:rPr>
                <w:rtl w:val="0"/>
              </w:rPr>
            </w:r>
          </w:p>
        </w:tc>
      </w:tr>
    </w:tbl>
    <w:p w:rsidR="00000000" w:rsidDel="00000000" w:rsidP="00000000" w:rsidRDefault="00000000" w:rsidRPr="00000000" w14:paraId="00000110">
      <w:pPr>
        <w:pStyle w:val="Heading3"/>
        <w:keepNext w:val="0"/>
        <w:keepLines w:val="0"/>
        <w:spacing w:before="280" w:line="240" w:lineRule="auto"/>
        <w:rPr>
          <w:rFonts w:ascii="Georgia" w:cs="Georgia" w:eastAsia="Georgia" w:hAnsi="Georgia"/>
          <w:b w:val="1"/>
          <w:color w:val="000000"/>
          <w:sz w:val="26"/>
          <w:szCs w:val="26"/>
        </w:rPr>
      </w:pPr>
      <w:bookmarkStart w:colFirst="0" w:colLast="0" w:name="_gk2tfymumgaw" w:id="22"/>
      <w:bookmarkEnd w:id="22"/>
      <w:r w:rsidDel="00000000" w:rsidR="00000000" w:rsidRPr="00000000">
        <w:rPr>
          <w:rtl w:val="0"/>
        </w:rPr>
      </w:r>
    </w:p>
    <w:p w:rsidR="00000000" w:rsidDel="00000000" w:rsidP="00000000" w:rsidRDefault="00000000" w:rsidRPr="00000000" w14:paraId="00000111">
      <w:pPr>
        <w:pStyle w:val="Heading3"/>
        <w:keepNext w:val="0"/>
        <w:keepLines w:val="0"/>
        <w:spacing w:before="280" w:line="240" w:lineRule="auto"/>
        <w:rPr>
          <w:rFonts w:ascii="Georgia" w:cs="Georgia" w:eastAsia="Georgia" w:hAnsi="Georgia"/>
          <w:b w:val="1"/>
          <w:color w:val="000000"/>
          <w:sz w:val="26"/>
          <w:szCs w:val="26"/>
        </w:rPr>
      </w:pPr>
      <w:bookmarkStart w:colFirst="0" w:colLast="0" w:name="_org3remznty5" w:id="23"/>
      <w:bookmarkEnd w:id="23"/>
      <w:r w:rsidDel="00000000" w:rsidR="00000000" w:rsidRPr="00000000">
        <w:rPr>
          <w:rtl w:val="0"/>
        </w:rPr>
      </w:r>
    </w:p>
    <w:p w:rsidR="00000000" w:rsidDel="00000000" w:rsidP="00000000" w:rsidRDefault="00000000" w:rsidRPr="00000000" w14:paraId="00000112">
      <w:pPr>
        <w:pStyle w:val="Heading3"/>
        <w:keepNext w:val="0"/>
        <w:keepLines w:val="0"/>
        <w:spacing w:before="280" w:line="240" w:lineRule="auto"/>
        <w:rPr>
          <w:rFonts w:ascii="Georgia" w:cs="Georgia" w:eastAsia="Georgia" w:hAnsi="Georgia"/>
          <w:b w:val="1"/>
          <w:color w:val="000000"/>
          <w:sz w:val="26"/>
          <w:szCs w:val="26"/>
        </w:rPr>
      </w:pPr>
      <w:bookmarkStart w:colFirst="0" w:colLast="0" w:name="_z2x56otkbd71" w:id="24"/>
      <w:bookmarkEnd w:id="24"/>
      <w:r w:rsidDel="00000000" w:rsidR="00000000" w:rsidRPr="00000000">
        <w:rPr>
          <w:rtl w:val="0"/>
        </w:rPr>
      </w:r>
    </w:p>
    <w:p w:rsidR="00000000" w:rsidDel="00000000" w:rsidP="00000000" w:rsidRDefault="00000000" w:rsidRPr="00000000" w14:paraId="00000113">
      <w:pPr>
        <w:pStyle w:val="Heading3"/>
        <w:keepNext w:val="0"/>
        <w:keepLines w:val="0"/>
        <w:spacing w:before="280" w:line="240" w:lineRule="auto"/>
        <w:rPr>
          <w:rFonts w:ascii="Georgia" w:cs="Georgia" w:eastAsia="Georgia" w:hAnsi="Georgia"/>
          <w:b w:val="1"/>
          <w:color w:val="000000"/>
          <w:sz w:val="26"/>
          <w:szCs w:val="26"/>
        </w:rPr>
      </w:pPr>
      <w:bookmarkStart w:colFirst="0" w:colLast="0" w:name="_47frz0ne2p8g" w:id="25"/>
      <w:bookmarkEnd w:id="25"/>
      <w:r w:rsidDel="00000000" w:rsidR="00000000" w:rsidRPr="00000000">
        <w:rPr>
          <w:rtl w:val="0"/>
        </w:rPr>
      </w:r>
    </w:p>
    <w:p w:rsidR="00000000" w:rsidDel="00000000" w:rsidP="00000000" w:rsidRDefault="00000000" w:rsidRPr="00000000" w14:paraId="00000114">
      <w:pPr>
        <w:pStyle w:val="Heading3"/>
        <w:keepNext w:val="0"/>
        <w:keepLines w:val="0"/>
        <w:spacing w:before="280" w:line="240" w:lineRule="auto"/>
        <w:rPr>
          <w:rFonts w:ascii="Georgia" w:cs="Georgia" w:eastAsia="Georgia" w:hAnsi="Georgia"/>
          <w:b w:val="1"/>
          <w:color w:val="000000"/>
          <w:sz w:val="26"/>
          <w:szCs w:val="26"/>
        </w:rPr>
      </w:pPr>
      <w:bookmarkStart w:colFirst="0" w:colLast="0" w:name="_e03dzigjxlw6" w:id="26"/>
      <w:bookmarkEnd w:id="26"/>
      <w:r w:rsidDel="00000000" w:rsidR="00000000" w:rsidRPr="00000000">
        <w:rPr>
          <w:rtl w:val="0"/>
        </w:rPr>
      </w:r>
    </w:p>
    <w:p w:rsidR="00000000" w:rsidDel="00000000" w:rsidP="00000000" w:rsidRDefault="00000000" w:rsidRPr="00000000" w14:paraId="00000115">
      <w:pPr>
        <w:pStyle w:val="Heading3"/>
        <w:keepNext w:val="0"/>
        <w:keepLines w:val="0"/>
        <w:spacing w:before="280" w:line="240" w:lineRule="auto"/>
        <w:rPr>
          <w:rFonts w:ascii="Georgia" w:cs="Georgia" w:eastAsia="Georgia" w:hAnsi="Georgia"/>
          <w:b w:val="1"/>
          <w:color w:val="000000"/>
          <w:sz w:val="26"/>
          <w:szCs w:val="26"/>
        </w:rPr>
      </w:pPr>
      <w:bookmarkStart w:colFirst="0" w:colLast="0" w:name="_76i348nn74si" w:id="27"/>
      <w:bookmarkEnd w:id="27"/>
      <w:r w:rsidDel="00000000" w:rsidR="00000000" w:rsidRPr="00000000">
        <w:rPr>
          <w:rtl w:val="0"/>
        </w:rPr>
      </w:r>
    </w:p>
    <w:p w:rsidR="00000000" w:rsidDel="00000000" w:rsidP="00000000" w:rsidRDefault="00000000" w:rsidRPr="00000000" w14:paraId="00000116">
      <w:pPr>
        <w:pStyle w:val="Heading3"/>
        <w:keepNext w:val="0"/>
        <w:keepLines w:val="0"/>
        <w:spacing w:before="280" w:line="240" w:lineRule="auto"/>
        <w:rPr>
          <w:rFonts w:ascii="Georgia" w:cs="Georgia" w:eastAsia="Georgia" w:hAnsi="Georgia"/>
          <w:b w:val="1"/>
          <w:color w:val="000000"/>
          <w:sz w:val="26"/>
          <w:szCs w:val="26"/>
        </w:rPr>
      </w:pPr>
      <w:bookmarkStart w:colFirst="0" w:colLast="0" w:name="_dhqzchirasnr" w:id="28"/>
      <w:bookmarkEnd w:id="28"/>
      <w:r w:rsidDel="00000000" w:rsidR="00000000" w:rsidRPr="00000000">
        <w:rPr>
          <w:rFonts w:ascii="Georgia" w:cs="Georgia" w:eastAsia="Georgia" w:hAnsi="Georgia"/>
          <w:b w:val="1"/>
          <w:color w:val="000000"/>
          <w:sz w:val="26"/>
          <w:szCs w:val="26"/>
          <w:rtl w:val="0"/>
        </w:rPr>
        <w:t xml:space="preserve">Comparative Analysis of Undervalued Company and their peers</w:t>
      </w:r>
      <w:r w:rsidDel="00000000" w:rsidR="00000000" w:rsidRPr="00000000">
        <w:rPr>
          <w:rtl w:val="0"/>
        </w:rPr>
      </w:r>
    </w:p>
    <w:tbl>
      <w:tblPr>
        <w:tblStyle w:val="Table6"/>
        <w:tblpPr w:leftFromText="180" w:rightFromText="180" w:topFromText="180" w:bottomFromText="180" w:vertAnchor="text" w:horzAnchor="text" w:tblpX="-915" w:tblpY="0"/>
        <w:tblW w:w="10995.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245"/>
        <w:gridCol w:w="1080"/>
        <w:gridCol w:w="1080"/>
        <w:gridCol w:w="1275"/>
        <w:gridCol w:w="1245"/>
        <w:gridCol w:w="1065"/>
        <w:gridCol w:w="1410"/>
        <w:tblGridChange w:id="0">
          <w:tblGrid>
            <w:gridCol w:w="2595"/>
            <w:gridCol w:w="1245"/>
            <w:gridCol w:w="1080"/>
            <w:gridCol w:w="1080"/>
            <w:gridCol w:w="1275"/>
            <w:gridCol w:w="1245"/>
            <w:gridCol w:w="1065"/>
            <w:gridCol w:w="141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Fonts w:ascii="Times New Roman" w:cs="Times New Roman" w:eastAsia="Times New Roman" w:hAnsi="Times New Roman"/>
                <w:b w:val="1"/>
                <w:rtl w:val="0"/>
              </w:rPr>
              <w:t xml:space="preserve">Metric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Times New Roman" w:cs="Times New Roman" w:eastAsia="Times New Roman" w:hAnsi="Times New Roman"/>
                <w:b w:val="1"/>
                <w:rtl w:val="0"/>
              </w:rPr>
              <w:t xml:space="preserve">SU</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rFonts w:ascii="Times New Roman" w:cs="Times New Roman" w:eastAsia="Times New Roman" w:hAnsi="Times New Roman"/>
                <w:b w:val="1"/>
                <w:rtl w:val="0"/>
              </w:rPr>
              <w:t xml:space="preserve">MUR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Fonts w:ascii="Times New Roman" w:cs="Times New Roman" w:eastAsia="Times New Roman" w:hAnsi="Times New Roman"/>
                <w:b w:val="1"/>
                <w:rtl w:val="0"/>
              </w:rPr>
              <w:t xml:space="preserve">PFIE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Fonts w:ascii="Times New Roman" w:cs="Times New Roman" w:eastAsia="Times New Roman" w:hAnsi="Times New Roman"/>
                <w:b w:val="1"/>
                <w:rtl w:val="0"/>
              </w:rPr>
              <w:t xml:space="preserve">CRC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rFonts w:ascii="Times New Roman" w:cs="Times New Roman" w:eastAsia="Times New Roman" w:hAnsi="Times New Roman"/>
                <w:b w:val="1"/>
                <w:rtl w:val="0"/>
              </w:rPr>
              <w:t xml:space="preserve">CIVI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rtl w:val="0"/>
              </w:rPr>
              <w:t xml:space="preserve">TNK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Times New Roman" w:cs="Times New Roman" w:eastAsia="Times New Roman" w:hAnsi="Times New Roman"/>
                <w:b w:val="1"/>
                <w:rtl w:val="0"/>
              </w:rPr>
              <w:t xml:space="preserve">KOS</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Fonts w:ascii="Times New Roman" w:cs="Times New Roman" w:eastAsia="Times New Roman" w:hAnsi="Times New Roman"/>
                <w:b w:val="1"/>
                <w:rtl w:val="0"/>
              </w:rPr>
              <w:t xml:space="preserve">GP (2023)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rFonts w:ascii="Times New Roman" w:cs="Times New Roman" w:eastAsia="Times New Roman" w:hAnsi="Times New Roman"/>
                <w:rtl w:val="0"/>
              </w:rPr>
              <w:t xml:space="preserve">21,924,000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rFonts w:ascii="Times New Roman" w:cs="Times New Roman" w:eastAsia="Times New Roman" w:hAnsi="Times New Roman"/>
                <w:rtl w:val="0"/>
              </w:rPr>
              <w:t xml:space="preserve">1,518,194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rFonts w:ascii="Times New Roman" w:cs="Times New Roman" w:eastAsia="Times New Roman" w:hAnsi="Times New Roman"/>
                <w:rtl w:val="0"/>
              </w:rPr>
              <w:t xml:space="preserve">30,532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rFonts w:ascii="Times New Roman" w:cs="Times New Roman" w:eastAsia="Times New Roman" w:hAnsi="Times New Roman"/>
                <w:rtl w:val="0"/>
              </w:rPr>
              <w:t xml:space="preserve">1,405,000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rFonts w:ascii="Times New Roman" w:cs="Times New Roman" w:eastAsia="Times New Roman" w:hAnsi="Times New Roman"/>
                <w:rtl w:val="0"/>
              </w:rPr>
              <w:t xml:space="preserve">1,671,035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rFonts w:ascii="Times New Roman" w:cs="Times New Roman" w:eastAsia="Times New Roman" w:hAnsi="Times New Roman"/>
                <w:rtl w:val="0"/>
              </w:rPr>
              <w:t xml:space="preserve">572,734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rFonts w:ascii="Times New Roman" w:cs="Times New Roman" w:eastAsia="Times New Roman" w:hAnsi="Times New Roman"/>
                <w:rtl w:val="0"/>
              </w:rPr>
              <w:t xml:space="preserve">866,584</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Fonts w:ascii="Times New Roman" w:cs="Times New Roman" w:eastAsia="Times New Roman" w:hAnsi="Times New Roman"/>
                <w:b w:val="1"/>
                <w:rtl w:val="0"/>
              </w:rPr>
              <w:t xml:space="preserve">GP (2022)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rFonts w:ascii="Times New Roman" w:cs="Times New Roman" w:eastAsia="Times New Roman" w:hAnsi="Times New Roman"/>
                <w:rtl w:val="0"/>
              </w:rPr>
              <w:t xml:space="preserve">26,874,000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rFonts w:ascii="Times New Roman" w:cs="Times New Roman" w:eastAsia="Times New Roman" w:hAnsi="Times New Roman"/>
                <w:rtl w:val="0"/>
              </w:rPr>
              <w:t xml:space="preserve">2,379,279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rFonts w:ascii="Times New Roman" w:cs="Times New Roman" w:eastAsia="Times New Roman" w:hAnsi="Times New Roman"/>
                <w:rtl w:val="0"/>
              </w:rPr>
              <w:t xml:space="preserve">21,651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rFonts w:ascii="Times New Roman" w:cs="Times New Roman" w:eastAsia="Times New Roman" w:hAnsi="Times New Roman"/>
                <w:rtl w:val="0"/>
              </w:rPr>
              <w:t xml:space="preserve">1,821,000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rFonts w:ascii="Times New Roman" w:cs="Times New Roman" w:eastAsia="Times New Roman" w:hAnsi="Times New Roman"/>
                <w:rtl w:val="0"/>
              </w:rPr>
              <w:t xml:space="preserve">2,485,548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rFonts w:ascii="Times New Roman" w:cs="Times New Roman" w:eastAsia="Times New Roman" w:hAnsi="Times New Roman"/>
                <w:rtl w:val="0"/>
              </w:rPr>
              <w:t xml:space="preserve">290,652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rFonts w:ascii="Times New Roman" w:cs="Times New Roman" w:eastAsia="Times New Roman" w:hAnsi="Times New Roman"/>
                <w:rtl w:val="0"/>
              </w:rPr>
              <w:t xml:space="preserve">1,344,043</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Fonts w:ascii="Times New Roman" w:cs="Times New Roman" w:eastAsia="Times New Roman" w:hAnsi="Times New Roman"/>
                <w:b w:val="1"/>
                <w:rtl w:val="0"/>
              </w:rPr>
              <w:t xml:space="preserve">GP (2021)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rFonts w:ascii="Times New Roman" w:cs="Times New Roman" w:eastAsia="Times New Roman" w:hAnsi="Times New Roman"/>
                <w:rtl w:val="0"/>
              </w:rPr>
              <w:t xml:space="preserve">17,560,000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rFonts w:ascii="Times New Roman" w:cs="Times New Roman" w:eastAsia="Times New Roman" w:hAnsi="Times New Roman"/>
                <w:rtl w:val="0"/>
              </w:rPr>
              <w:t xml:space="preserve">1,279,536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rFonts w:ascii="Times New Roman" w:cs="Times New Roman" w:eastAsia="Times New Roman" w:hAnsi="Times New Roman"/>
                <w:rtl w:val="0"/>
              </w:rPr>
              <w:t xml:space="preserve">11,401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rFonts w:ascii="Times New Roman" w:cs="Times New Roman" w:eastAsia="Times New Roman" w:hAnsi="Times New Roman"/>
                <w:rtl w:val="0"/>
              </w:rPr>
              <w:t xml:space="preserve">1,355,000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rFonts w:ascii="Times New Roman" w:cs="Times New Roman" w:eastAsia="Times New Roman" w:hAnsi="Times New Roman"/>
                <w:rtl w:val="0"/>
              </w:rPr>
              <w:t xml:space="preserve">569,359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rFonts w:ascii="Times New Roman" w:cs="Times New Roman" w:eastAsia="Times New Roman" w:hAnsi="Times New Roman"/>
                <w:rtl w:val="0"/>
              </w:rPr>
              <w:t xml:space="preserve">-58,012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rFonts w:ascii="Times New Roman" w:cs="Times New Roman" w:eastAsia="Times New Roman" w:hAnsi="Times New Roman"/>
                <w:rtl w:val="0"/>
              </w:rPr>
              <w:t xml:space="preserve">518,786</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Fonts w:ascii="Times New Roman" w:cs="Times New Roman" w:eastAsia="Times New Roman" w:hAnsi="Times New Roman"/>
                <w:b w:val="1"/>
                <w:rtl w:val="0"/>
              </w:rPr>
              <w:t xml:space="preserve">GP (2020)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rFonts w:ascii="Times New Roman" w:cs="Times New Roman" w:eastAsia="Times New Roman" w:hAnsi="Times New Roman"/>
                <w:rtl w:val="0"/>
              </w:rPr>
              <w:t xml:space="preserve">5,073,000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rFonts w:ascii="Times New Roman" w:cs="Times New Roman" w:eastAsia="Times New Roman" w:hAnsi="Times New Roman"/>
                <w:rtl w:val="0"/>
              </w:rPr>
              <w:t xml:space="preserve">-8,005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rFonts w:ascii="Times New Roman" w:cs="Times New Roman" w:eastAsia="Times New Roman" w:hAnsi="Times New Roman"/>
                <w:rtl w:val="0"/>
              </w:rPr>
              <w:t xml:space="preserve">9,526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rFonts w:ascii="Times New Roman" w:cs="Times New Roman" w:eastAsia="Times New Roman" w:hAnsi="Times New Roman"/>
                <w:rtl w:val="0"/>
              </w:rPr>
              <w:t xml:space="preserve">1,058,000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rFonts w:ascii="Times New Roman" w:cs="Times New Roman" w:eastAsia="Times New Roman" w:hAnsi="Times New Roman"/>
                <w:rtl w:val="0"/>
              </w:rPr>
              <w:t xml:space="preserve">69,224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rFonts w:ascii="Times New Roman" w:cs="Times New Roman" w:eastAsia="Times New Roman" w:hAnsi="Times New Roman"/>
                <w:rtl w:val="0"/>
              </w:rPr>
              <w:t xml:space="preserve">251,423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rFonts w:ascii="Times New Roman" w:cs="Times New Roman" w:eastAsia="Times New Roman" w:hAnsi="Times New Roman"/>
                <w:rtl w:val="0"/>
              </w:rPr>
              <w:t xml:space="preserve">-20,306</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Fonts w:ascii="Times New Roman" w:cs="Times New Roman" w:eastAsia="Times New Roman" w:hAnsi="Times New Roman"/>
                <w:b w:val="1"/>
                <w:rtl w:val="0"/>
              </w:rPr>
              <w:t xml:space="preserve">GPG (2022 to 2023)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rFonts w:ascii="Times New Roman" w:cs="Times New Roman" w:eastAsia="Times New Roman" w:hAnsi="Times New Roman"/>
                <w:rtl w:val="0"/>
              </w:rPr>
              <w:t xml:space="preserve">-18.41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rFonts w:ascii="Times New Roman" w:cs="Times New Roman" w:eastAsia="Times New Roman" w:hAnsi="Times New Roman"/>
                <w:rtl w:val="0"/>
              </w:rPr>
              <w:t xml:space="preserve">-36.18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rFonts w:ascii="Times New Roman" w:cs="Times New Roman" w:eastAsia="Times New Roman" w:hAnsi="Times New Roman"/>
                <w:rtl w:val="0"/>
              </w:rPr>
              <w:t xml:space="preserve">-22.88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rFonts w:ascii="Times New Roman" w:cs="Times New Roman" w:eastAsia="Times New Roman" w:hAnsi="Times New Roman"/>
                <w:rtl w:val="0"/>
              </w:rPr>
              <w:t xml:space="preserve">-32.78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rFonts w:ascii="Times New Roman" w:cs="Times New Roman" w:eastAsia="Times New Roman" w:hAnsi="Times New Roman"/>
                <w:rtl w:val="0"/>
              </w:rPr>
              <w:t xml:space="preserve">97.16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rFonts w:ascii="Times New Roman" w:cs="Times New Roman" w:eastAsia="Times New Roman" w:hAnsi="Times New Roman"/>
                <w:rtl w:val="0"/>
              </w:rPr>
              <w:t xml:space="preserve">-35.51</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Fonts w:ascii="Times New Roman" w:cs="Times New Roman" w:eastAsia="Times New Roman" w:hAnsi="Times New Roman"/>
                <w:b w:val="1"/>
                <w:rtl w:val="0"/>
              </w:rPr>
              <w:t xml:space="preserve">GPG (2021 to 2022)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rFonts w:ascii="Times New Roman" w:cs="Times New Roman" w:eastAsia="Times New Roman" w:hAnsi="Times New Roman"/>
                <w:rtl w:val="0"/>
              </w:rPr>
              <w:t xml:space="preserve">53.56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rFonts w:ascii="Times New Roman" w:cs="Times New Roman" w:eastAsia="Times New Roman" w:hAnsi="Times New Roman"/>
                <w:rtl w:val="0"/>
              </w:rPr>
              <w:t xml:space="preserve">85.94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rFonts w:ascii="Times New Roman" w:cs="Times New Roman" w:eastAsia="Times New Roman" w:hAnsi="Times New Roman"/>
                <w:rtl w:val="0"/>
              </w:rPr>
              <w:t xml:space="preserve">89.83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rFonts w:ascii="Times New Roman" w:cs="Times New Roman" w:eastAsia="Times New Roman" w:hAnsi="Times New Roman"/>
                <w:rtl w:val="0"/>
              </w:rPr>
              <w:t xml:space="preserve">34.47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rFonts w:ascii="Times New Roman" w:cs="Times New Roman" w:eastAsia="Times New Roman" w:hAnsi="Times New Roman"/>
                <w:rtl w:val="0"/>
              </w:rPr>
              <w:t xml:space="preserve">336.68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rFonts w:ascii="Times New Roman" w:cs="Times New Roman" w:eastAsia="Times New Roman" w:hAnsi="Times New Roman"/>
                <w:rtl w:val="0"/>
              </w:rPr>
              <w:t xml:space="preserve">601.00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rFonts w:ascii="Times New Roman" w:cs="Times New Roman" w:eastAsia="Times New Roman" w:hAnsi="Times New Roman"/>
                <w:rtl w:val="0"/>
              </w:rPr>
              <w:t xml:space="preserve">159.16</w:t>
            </w:r>
            <w:r w:rsidDel="00000000" w:rsidR="00000000" w:rsidRPr="00000000">
              <w:rPr>
                <w:rtl w:val="0"/>
              </w:rPr>
            </w:r>
          </w:p>
        </w:tc>
      </w:tr>
      <w:tr>
        <w:trPr>
          <w:cantSplit w:val="0"/>
          <w:trHeight w:val="260.9252929687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Fonts w:ascii="Times New Roman" w:cs="Times New Roman" w:eastAsia="Times New Roman" w:hAnsi="Times New Roman"/>
                <w:b w:val="1"/>
                <w:rtl w:val="0"/>
              </w:rPr>
              <w:t xml:space="preserve">GPG (2020 to 2021)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rFonts w:ascii="Times New Roman" w:cs="Times New Roman" w:eastAsia="Times New Roman" w:hAnsi="Times New Roman"/>
                <w:rtl w:val="0"/>
              </w:rPr>
              <w:t xml:space="preserve">246.10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rFonts w:ascii="Times New Roman" w:cs="Times New Roman" w:eastAsia="Times New Roman" w:hAnsi="Times New Roman"/>
                <w:rtl w:val="0"/>
              </w:rPr>
              <w:t xml:space="preserve">15985.54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rFonts w:ascii="Times New Roman" w:cs="Times New Roman" w:eastAsia="Times New Roman" w:hAnsi="Times New Roman"/>
                <w:rtl w:val="0"/>
              </w:rPr>
              <w:t xml:space="preserve">19.69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rFonts w:ascii="Times New Roman" w:cs="Times New Roman" w:eastAsia="Times New Roman" w:hAnsi="Times New Roman"/>
                <w:rtl w:val="0"/>
              </w:rPr>
              <w:t xml:space="preserve">28.10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rFonts w:ascii="Times New Roman" w:cs="Times New Roman" w:eastAsia="Times New Roman" w:hAnsi="Times New Roman"/>
                <w:rtl w:val="0"/>
              </w:rPr>
              <w:t xml:space="preserve">722.36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rFonts w:ascii="Times New Roman" w:cs="Times New Roman" w:eastAsia="Times New Roman" w:hAnsi="Times New Roman"/>
                <w:rtl w:val="0"/>
              </w:rPr>
              <w:t xml:space="preserve">-123.07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rFonts w:ascii="Times New Roman" w:cs="Times New Roman" w:eastAsia="Times New Roman" w:hAnsi="Times New Roman"/>
                <w:rtl w:val="0"/>
              </w:rPr>
              <w:t xml:space="preserve">-2,654.65</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Fonts w:ascii="Times New Roman" w:cs="Times New Roman" w:eastAsia="Times New Roman" w:hAnsi="Times New Roman"/>
                <w:b w:val="1"/>
                <w:rtl w:val="0"/>
              </w:rPr>
              <w:t xml:space="preserve">Average GPG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93.75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5,345.1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50.16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13.23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342.08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191.69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b w:val="1"/>
                <w:sz w:val="20"/>
                <w:szCs w:val="20"/>
              </w:rPr>
            </w:pPr>
            <w:r w:rsidDel="00000000" w:rsidR="00000000" w:rsidRPr="00000000">
              <w:rPr>
                <w:rFonts w:ascii="Times New Roman" w:cs="Times New Roman" w:eastAsia="Times New Roman" w:hAnsi="Times New Roman"/>
                <w:b w:val="1"/>
                <w:rtl w:val="0"/>
              </w:rPr>
              <w:t xml:space="preserve">-843.7</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Fonts w:ascii="Times New Roman" w:cs="Times New Roman" w:eastAsia="Times New Roman" w:hAnsi="Times New Roman"/>
                <w:b w:val="1"/>
                <w:rtl w:val="0"/>
              </w:rPr>
              <w:t xml:space="preserve">P/E Ratio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rFonts w:ascii="Times New Roman" w:cs="Times New Roman" w:eastAsia="Times New Roman" w:hAnsi="Times New Roman"/>
                <w:rtl w:val="0"/>
              </w:rPr>
              <w:t xml:space="preserve">8.68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rFonts w:ascii="Times New Roman" w:cs="Times New Roman" w:eastAsia="Times New Roman" w:hAnsi="Times New Roman"/>
                <w:rtl w:val="0"/>
              </w:rPr>
              <w:t xml:space="preserve">11.74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rFonts w:ascii="Times New Roman" w:cs="Times New Roman" w:eastAsia="Times New Roman" w:hAnsi="Times New Roman"/>
                <w:rtl w:val="0"/>
              </w:rPr>
              <w:t xml:space="preserve">8.68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rFonts w:ascii="Times New Roman" w:cs="Times New Roman" w:eastAsia="Times New Roman" w:hAnsi="Times New Roman"/>
                <w:rtl w:val="0"/>
              </w:rPr>
              <w:t xml:space="preserve">15.04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rFonts w:ascii="Times New Roman" w:cs="Times New Roman" w:eastAsia="Times New Roman" w:hAnsi="Times New Roman"/>
                <w:rtl w:val="0"/>
              </w:rPr>
              <w:t xml:space="preserve">8.85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rFonts w:ascii="Times New Roman" w:cs="Times New Roman" w:eastAsia="Times New Roman" w:hAnsi="Times New Roman"/>
                <w:rtl w:val="0"/>
              </w:rPr>
              <w:t xml:space="preserve">4.48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rFonts w:ascii="Times New Roman" w:cs="Times New Roman" w:eastAsia="Times New Roman" w:hAnsi="Times New Roman"/>
                <w:rtl w:val="0"/>
              </w:rPr>
              <w:t xml:space="preserve">12.46</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Fonts w:ascii="Times New Roman" w:cs="Times New Roman" w:eastAsia="Times New Roman" w:hAnsi="Times New Roman"/>
                <w:b w:val="1"/>
                <w:rtl w:val="0"/>
              </w:rPr>
              <w:t xml:space="preserve">P/B Ratio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rFonts w:ascii="Times New Roman" w:cs="Times New Roman" w:eastAsia="Times New Roman" w:hAnsi="Times New Roman"/>
                <w:rtl w:val="0"/>
              </w:rPr>
              <w:t xml:space="preserve">1.53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rFonts w:ascii="Times New Roman" w:cs="Times New Roman" w:eastAsia="Times New Roman" w:hAnsi="Times New Roman"/>
                <w:rtl w:val="0"/>
              </w:rPr>
              <w:t xml:space="preserve">1.21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rFonts w:ascii="Times New Roman" w:cs="Times New Roman" w:eastAsia="Times New Roman" w:hAnsi="Times New Roman"/>
                <w:rtl w:val="0"/>
              </w:rPr>
              <w:t xml:space="preserve">1.39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rFonts w:ascii="Times New Roman" w:cs="Times New Roman" w:eastAsia="Times New Roman" w:hAnsi="Times New Roman"/>
                <w:rtl w:val="0"/>
              </w:rPr>
              <w:t xml:space="preserve">1.72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rFonts w:ascii="Times New Roman" w:cs="Times New Roman" w:eastAsia="Times New Roman" w:hAnsi="Times New Roman"/>
                <w:rtl w:val="0"/>
              </w:rPr>
              <w:t xml:space="preserve">2.53</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Fonts w:ascii="Times New Roman" w:cs="Times New Roman" w:eastAsia="Times New Roman" w:hAnsi="Times New Roman"/>
                <w:b w:val="1"/>
                <w:rtl w:val="0"/>
              </w:rPr>
              <w:t xml:space="preserve">P/S Ratio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rFonts w:ascii="Times New Roman" w:cs="Times New Roman" w:eastAsia="Times New Roman" w:hAnsi="Times New Roman"/>
                <w:rtl w:val="0"/>
              </w:rPr>
              <w:t xml:space="preserve">1.36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rFonts w:ascii="Times New Roman" w:cs="Times New Roman" w:eastAsia="Times New Roman" w:hAnsi="Times New Roman"/>
                <w:rtl w:val="0"/>
              </w:rPr>
              <w:t xml:space="preserve">1.89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rFonts w:ascii="Times New Roman" w:cs="Times New Roman" w:eastAsia="Times New Roman" w:hAnsi="Times New Roman"/>
                <w:rtl w:val="0"/>
              </w:rPr>
              <w:t xml:space="preserve">1.42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rFonts w:ascii="Times New Roman" w:cs="Times New Roman" w:eastAsia="Times New Roman" w:hAnsi="Times New Roman"/>
                <w:rtl w:val="0"/>
              </w:rPr>
              <w:t xml:space="preserve">1.99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rFonts w:ascii="Times New Roman" w:cs="Times New Roman" w:eastAsia="Times New Roman" w:hAnsi="Times New Roman"/>
                <w:rtl w:val="0"/>
              </w:rPr>
              <w:t xml:space="preserve">1.75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rFonts w:ascii="Times New Roman" w:cs="Times New Roman" w:eastAsia="Times New Roman" w:hAnsi="Times New Roman"/>
                <w:rtl w:val="0"/>
              </w:rPr>
              <w:t xml:space="preserve">1.6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rFonts w:ascii="Times New Roman" w:cs="Times New Roman" w:eastAsia="Times New Roman" w:hAnsi="Times New Roman"/>
                <w:rtl w:val="0"/>
              </w:rPr>
              <w:t xml:space="preserve">1.55</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rtl w:val="0"/>
              </w:rPr>
              <w:t xml:space="preserve">ROE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rFonts w:ascii="Times New Roman" w:cs="Times New Roman" w:eastAsia="Times New Roman" w:hAnsi="Times New Roman"/>
                <w:rtl w:val="0"/>
              </w:rPr>
              <w:t xml:space="preserve">18.68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rFonts w:ascii="Times New Roman" w:cs="Times New Roman" w:eastAsia="Times New Roman" w:hAnsi="Times New Roman"/>
                <w:rtl w:val="0"/>
              </w:rPr>
              <w:t xml:space="preserve">10.77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rFonts w:ascii="Times New Roman" w:cs="Times New Roman" w:eastAsia="Times New Roman" w:hAnsi="Times New Roman"/>
                <w:rtl w:val="0"/>
              </w:rPr>
              <w:t xml:space="preserve">17.84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rFonts w:ascii="Times New Roman" w:cs="Times New Roman" w:eastAsia="Times New Roman" w:hAnsi="Times New Roman"/>
                <w:rtl w:val="0"/>
              </w:rPr>
              <w:t xml:space="preserve">12.09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rFonts w:ascii="Times New Roman" w:cs="Times New Roman" w:eastAsia="Times New Roman" w:hAnsi="Times New Roman"/>
                <w:rtl w:val="0"/>
              </w:rPr>
              <w:t xml:space="preserve">12.91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rFonts w:ascii="Times New Roman" w:cs="Times New Roman" w:eastAsia="Times New Roman" w:hAnsi="Times New Roman"/>
                <w:rtl w:val="0"/>
              </w:rPr>
              <w:t xml:space="preserve">33.66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rFonts w:ascii="Times New Roman" w:cs="Times New Roman" w:eastAsia="Times New Roman" w:hAnsi="Times New Roman"/>
                <w:rtl w:val="0"/>
              </w:rPr>
              <w:t xml:space="preserve">22.86</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Fonts w:ascii="Times New Roman" w:cs="Times New Roman" w:eastAsia="Times New Roman" w:hAnsi="Times New Roman"/>
                <w:b w:val="1"/>
                <w:rtl w:val="0"/>
              </w:rPr>
              <w:t xml:space="preserve">Debt/EQ</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rFonts w:ascii="Times New Roman" w:cs="Times New Roman" w:eastAsia="Times New Roman" w:hAnsi="Times New Roman"/>
                <w:rtl w:val="0"/>
              </w:rPr>
              <w:t xml:space="preserve">0.36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rFonts w:ascii="Times New Roman" w:cs="Times New Roman" w:eastAsia="Times New Roman" w:hAnsi="Times New Roman"/>
                <w:rtl w:val="0"/>
              </w:rPr>
              <w:t xml:space="preserve">0.38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rFonts w:ascii="Times New Roman" w:cs="Times New Roman" w:eastAsia="Times New Roman" w:hAnsi="Times New Roman"/>
                <w:rtl w:val="0"/>
              </w:rPr>
              <w:t xml:space="preserve">0.01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rFonts w:ascii="Times New Roman" w:cs="Times New Roman" w:eastAsia="Times New Roman" w:hAnsi="Times New Roman"/>
                <w:rtl w:val="0"/>
              </w:rPr>
              <w:t xml:space="preserve">0.29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rFonts w:ascii="Times New Roman" w:cs="Times New Roman" w:eastAsia="Times New Roman" w:hAnsi="Times New Roman"/>
                <w:rtl w:val="0"/>
              </w:rPr>
              <w:t xml:space="preserve">0.67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rFonts w:ascii="Times New Roman" w:cs="Times New Roman" w:eastAsia="Times New Roman" w:hAnsi="Times New Roman"/>
                <w:rtl w:val="0"/>
              </w:rPr>
              <w:t xml:space="preserve">0.04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rFonts w:ascii="Times New Roman" w:cs="Times New Roman" w:eastAsia="Times New Roman" w:hAnsi="Times New Roman"/>
                <w:rtl w:val="0"/>
              </w:rPr>
              <w:t xml:space="preserve">2.48</w:t>
            </w:r>
            <w:r w:rsidDel="00000000" w:rsidR="00000000" w:rsidRPr="00000000">
              <w:rPr>
                <w:rtl w:val="0"/>
              </w:rPr>
            </w:r>
          </w:p>
        </w:tc>
      </w:tr>
    </w:tbl>
    <w:p w:rsidR="00000000" w:rsidDel="00000000" w:rsidP="00000000" w:rsidRDefault="00000000" w:rsidRPr="00000000" w14:paraId="0000018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MUR - Murphy Oil Corp.</w:t>
      </w:r>
    </w:p>
    <w:p w:rsidR="00000000" w:rsidDel="00000000" w:rsidP="00000000" w:rsidRDefault="00000000" w:rsidRPr="00000000" w14:paraId="0000018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PFIE - Profire Energy Inc.</w:t>
      </w:r>
    </w:p>
    <w:p w:rsidR="00000000" w:rsidDel="00000000" w:rsidP="00000000" w:rsidRDefault="00000000" w:rsidRPr="00000000" w14:paraId="0000018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CRC- California Resources Corporation</w:t>
      </w:r>
    </w:p>
    <w:p w:rsidR="00000000" w:rsidDel="00000000" w:rsidP="00000000" w:rsidRDefault="00000000" w:rsidRPr="00000000" w14:paraId="0000018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CIVI - Civitas Resources Ltd.</w:t>
      </w:r>
    </w:p>
    <w:p w:rsidR="00000000" w:rsidDel="00000000" w:rsidP="00000000" w:rsidRDefault="00000000" w:rsidRPr="00000000" w14:paraId="0000018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TNK - Teekay Tankers Ltd.</w:t>
      </w:r>
    </w:p>
    <w:p w:rsidR="00000000" w:rsidDel="00000000" w:rsidP="00000000" w:rsidRDefault="00000000" w:rsidRPr="00000000" w14:paraId="0000018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KOS - Kosmos Energy Ltd.</w:t>
      </w:r>
    </w:p>
    <w:p w:rsidR="00000000" w:rsidDel="00000000" w:rsidP="00000000" w:rsidRDefault="00000000" w:rsidRPr="00000000" w14:paraId="0000018D">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odoii69zqkhu" w:id="29"/>
      <w:bookmarkEnd w:id="29"/>
      <w:r w:rsidDel="00000000" w:rsidR="00000000" w:rsidRPr="00000000">
        <w:rPr>
          <w:rtl w:val="0"/>
        </w:rPr>
      </w:r>
    </w:p>
    <w:p w:rsidR="00000000" w:rsidDel="00000000" w:rsidP="00000000" w:rsidRDefault="00000000" w:rsidRPr="00000000" w14:paraId="0000018E">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acqmydyycgga" w:id="30"/>
      <w:bookmarkEnd w:id="30"/>
      <w:r w:rsidDel="00000000" w:rsidR="00000000" w:rsidRPr="00000000">
        <w:rPr>
          <w:rFonts w:ascii="Times New Roman" w:cs="Times New Roman" w:eastAsia="Times New Roman" w:hAnsi="Times New Roman"/>
          <w:b w:val="1"/>
          <w:color w:val="000000"/>
          <w:sz w:val="26"/>
          <w:szCs w:val="26"/>
          <w:rtl w:val="0"/>
        </w:rPr>
        <w:t xml:space="preserve">Compound Annual Growth Rate(CAGR)</w:t>
      </w:r>
    </w:p>
    <w:p w:rsidR="00000000" w:rsidDel="00000000" w:rsidP="00000000" w:rsidRDefault="00000000" w:rsidRPr="00000000" w14:paraId="0000018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appropriate for long-term projections,as it smooths out the growth over multiple periods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spacing w:before="2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CAGR</w:t>
      </w:r>
      <w:r w:rsidDel="00000000" w:rsidR="00000000" w:rsidRPr="00000000">
        <w:rPr>
          <w:rFonts w:ascii="Times New Roman" w:cs="Times New Roman" w:eastAsia="Times New Roman" w:hAnsi="Times New Roman"/>
          <w:sz w:val="24"/>
          <w:szCs w:val="24"/>
          <w:rtl w:val="0"/>
        </w:rPr>
        <w:t xml:space="preserve">      = </w:t>
        <w:tab/>
      </w:r>
      <w:r w:rsidDel="00000000" w:rsidR="00000000" w:rsidRPr="00000000">
        <w:rPr>
          <w:rFonts w:ascii="Times New Roman" w:cs="Times New Roman" w:eastAsia="Times New Roman" w:hAnsi="Times New Roman"/>
          <w:sz w:val="24"/>
          <w:szCs w:val="24"/>
          <w:u w:val="single"/>
          <w:rtl w:val="0"/>
        </w:rPr>
        <w:t xml:space="preserve">GPfinal </w:t>
      </w: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vertAlign w:val="superscript"/>
          </w:rPr>
          <m:t xml:space="preserve">1/n</m:t>
        </m:r>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92">
      <w:pPr>
        <w:spacing w:before="20" w:line="240" w:lineRule="auto"/>
        <w:ind w:left="2520" w:firstLine="36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GPinitial     </w:t>
        <w:tab/>
        <w:t xml:space="preserve"> </w:t>
        <w:tab/>
      </w:r>
      <w:r w:rsidDel="00000000" w:rsidR="00000000" w:rsidRPr="00000000">
        <w:rPr>
          <w:rtl w:val="0"/>
        </w:rPr>
      </w:r>
    </w:p>
    <w:p w:rsidR="00000000" w:rsidDel="00000000" w:rsidP="00000000" w:rsidRDefault="00000000" w:rsidRPr="00000000" w14:paraId="00000193">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94">
      <w:pPr>
        <w:numPr>
          <w:ilvl w:val="1"/>
          <w:numId w:val="9"/>
        </w:numPr>
        <w:spacing w:after="0" w:afterAutospacing="0" w:before="24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GP </w:t>
      </w:r>
      <w:r w:rsidDel="00000000" w:rsidR="00000000" w:rsidRPr="00000000">
        <w:rPr>
          <w:rFonts w:ascii="Times New Roman" w:cs="Times New Roman" w:eastAsia="Times New Roman" w:hAnsi="Times New Roman"/>
          <w:sz w:val="24"/>
          <w:szCs w:val="24"/>
          <w:vertAlign w:val="subscript"/>
          <w:rtl w:val="0"/>
        </w:rPr>
        <w:t xml:space="preserve">final</w:t>
      </w:r>
      <w:r w:rsidDel="00000000" w:rsidR="00000000" w:rsidRPr="00000000">
        <w:rPr>
          <w:rFonts w:ascii="Times New Roman" w:cs="Times New Roman" w:eastAsia="Times New Roman" w:hAnsi="Times New Roman"/>
          <w:sz w:val="24"/>
          <w:szCs w:val="24"/>
          <w:rtl w:val="0"/>
        </w:rPr>
        <w:t xml:space="preserve"> - GP final​ is the gross profit in the most recent year.</w:t>
      </w:r>
    </w:p>
    <w:p w:rsidR="00000000" w:rsidDel="00000000" w:rsidP="00000000" w:rsidRDefault="00000000" w:rsidRPr="00000000" w14:paraId="00000195">
      <w:pPr>
        <w:numPr>
          <w:ilvl w:val="1"/>
          <w:numId w:val="9"/>
        </w:numPr>
        <w:spacing w:after="0" w:afterAutospacing="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GP </w:t>
      </w:r>
      <w:r w:rsidDel="00000000" w:rsidR="00000000" w:rsidRPr="00000000">
        <w:rPr>
          <w:rFonts w:ascii="Times New Roman" w:cs="Times New Roman" w:eastAsia="Times New Roman" w:hAnsi="Times New Roman"/>
          <w:sz w:val="24"/>
          <w:szCs w:val="24"/>
          <w:vertAlign w:val="subscript"/>
          <w:rtl w:val="0"/>
        </w:rPr>
        <w:t xml:space="preserve">initial</w:t>
      </w:r>
      <w:r w:rsidDel="00000000" w:rsidR="00000000" w:rsidRPr="00000000">
        <w:rPr>
          <w:rFonts w:ascii="Times New Roman" w:cs="Times New Roman" w:eastAsia="Times New Roman" w:hAnsi="Times New Roman"/>
          <w:sz w:val="24"/>
          <w:szCs w:val="24"/>
          <w:rtl w:val="0"/>
        </w:rPr>
        <w:t xml:space="preserve"> - GP initial​ is the gross profit in the base year.</w:t>
      </w:r>
    </w:p>
    <w:p w:rsidR="00000000" w:rsidDel="00000000" w:rsidP="00000000" w:rsidRDefault="00000000" w:rsidRPr="00000000" w14:paraId="00000196">
      <w:pPr>
        <w:numPr>
          <w:ilvl w:val="1"/>
          <w:numId w:val="9"/>
        </w:numPr>
        <w:spacing w:after="240" w:before="0" w:beforeAutospacing="0" w:line="240" w:lineRule="auto"/>
        <w:ind w:left="1440" w:hanging="360"/>
        <w:rPr>
          <w:rFonts w:ascii="Times New Roman" w:cs="Times New Roman" w:eastAsia="Times New Roman" w:hAnsi="Times New Roman"/>
          <w:color w:val="000000"/>
          <w:sz w:val="24"/>
          <w:szCs w:val="24"/>
        </w:rPr>
      </w:pP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is the number of years.</w:t>
      </w:r>
    </w:p>
    <w:p w:rsidR="00000000" w:rsidDel="00000000" w:rsidP="00000000" w:rsidRDefault="00000000" w:rsidRPr="00000000" w14:paraId="00000197">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cls2k5qztjol" w:id="31"/>
      <w:bookmarkEnd w:id="31"/>
      <w:r w:rsidDel="00000000" w:rsidR="00000000" w:rsidRPr="00000000">
        <w:rPr>
          <w:rFonts w:ascii="Times New Roman" w:cs="Times New Roman" w:eastAsia="Times New Roman" w:hAnsi="Times New Roman"/>
          <w:b w:val="1"/>
          <w:color w:val="000000"/>
          <w:sz w:val="24"/>
          <w:szCs w:val="24"/>
          <w:rtl w:val="0"/>
        </w:rPr>
        <w:t xml:space="preserve">CAGR</w:t>
      </w:r>
      <w:r w:rsidDel="00000000" w:rsidR="00000000" w:rsidRPr="00000000">
        <w:rPr>
          <w:rFonts w:ascii="Times New Roman" w:cs="Times New Roman" w:eastAsia="Times New Roman" w:hAnsi="Times New Roman"/>
          <w:b w:val="1"/>
          <w:color w:val="000000"/>
          <w:sz w:val="24"/>
          <w:szCs w:val="24"/>
          <w:vertAlign w:val="subscript"/>
          <w:rtl w:val="0"/>
        </w:rPr>
        <w:t xml:space="preserve">SU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21,924,000</w:t>
      </w:r>
      <w:r w:rsidDel="00000000" w:rsidR="00000000" w:rsidRPr="00000000">
        <w:rPr>
          <w:rFonts w:ascii="Times New Roman" w:cs="Times New Roman" w:eastAsia="Times New Roman" w:hAnsi="Times New Roman"/>
          <w:b w:val="1"/>
          <w:color w:val="000000"/>
          <w:sz w:val="24"/>
          <w:szCs w:val="24"/>
          <w:rtl w:val="0"/>
        </w:rPr>
        <w:t xml:space="preserve">  ⅓  - 1  =  73.11%</w:t>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sz w:val="24"/>
          <w:szCs w:val="24"/>
          <w:rtl w:val="0"/>
        </w:rPr>
        <w:t xml:space="preserve">5,073,000</w:t>
      </w:r>
    </w:p>
    <w:p w:rsidR="00000000" w:rsidDel="00000000" w:rsidP="00000000" w:rsidRDefault="00000000" w:rsidRPr="00000000" w14:paraId="0000019A">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4zfaanqo1xvk" w:id="32"/>
      <w:bookmarkEnd w:id="32"/>
      <w:r w:rsidDel="00000000" w:rsidR="00000000" w:rsidRPr="00000000">
        <w:rPr>
          <w:rFonts w:ascii="Times New Roman" w:cs="Times New Roman" w:eastAsia="Times New Roman" w:hAnsi="Times New Roman"/>
          <w:b w:val="1"/>
          <w:color w:val="000000"/>
          <w:sz w:val="24"/>
          <w:szCs w:val="24"/>
          <w:rtl w:val="0"/>
        </w:rPr>
        <w:t xml:space="preserve">CAGR</w:t>
      </w:r>
      <w:r w:rsidDel="00000000" w:rsidR="00000000" w:rsidRPr="00000000">
        <w:rPr>
          <w:rFonts w:ascii="Times New Roman" w:cs="Times New Roman" w:eastAsia="Times New Roman" w:hAnsi="Times New Roman"/>
          <w:b w:val="1"/>
          <w:color w:val="000000"/>
          <w:sz w:val="24"/>
          <w:szCs w:val="24"/>
          <w:vertAlign w:val="subscript"/>
          <w:rtl w:val="0"/>
        </w:rPr>
        <w:t xml:space="preserve">MUR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u w:val="single"/>
          <w:rtl w:val="0"/>
        </w:rPr>
        <w:t xml:space="preserve">1,518,194</w:t>
      </w:r>
      <w:r w:rsidDel="00000000" w:rsidR="00000000" w:rsidRPr="00000000">
        <w:rPr>
          <w:rFonts w:ascii="Times New Roman" w:cs="Times New Roman" w:eastAsia="Times New Roman" w:hAnsi="Times New Roman"/>
          <w:b w:val="1"/>
          <w:color w:val="000000"/>
          <w:sz w:val="24"/>
          <w:szCs w:val="24"/>
          <w:rtl w:val="0"/>
        </w:rPr>
        <w:t xml:space="preserve">  ⅓  - 1  =  8.84%</w:t>
      </w:r>
    </w:p>
    <w:p w:rsidR="00000000" w:rsidDel="00000000" w:rsidP="00000000" w:rsidRDefault="00000000" w:rsidRPr="00000000" w14:paraId="0000019B">
      <w:pPr>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b w:val="1"/>
          <w:rtl w:val="0"/>
        </w:rPr>
        <w:tab/>
        <w:t xml:space="preserve"> 1,279,536</w:t>
      </w:r>
    </w:p>
    <w:p w:rsidR="00000000" w:rsidDel="00000000" w:rsidP="00000000" w:rsidRDefault="00000000" w:rsidRPr="00000000" w14:paraId="0000019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Projected Gross Profit</w:t>
      </w:r>
    </w:p>
    <w:p w:rsidR="00000000" w:rsidDel="00000000" w:rsidP="00000000" w:rsidRDefault="00000000" w:rsidRPr="00000000" w14:paraId="000001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projected GP formula is used to estimate the future gross profit (GP) of a company based on its current GP and the compound annual growth rate (CAGR). The formula is as follows:</w:t>
      </w:r>
    </w:p>
    <w:p w:rsidR="00000000" w:rsidDel="00000000" w:rsidP="00000000" w:rsidRDefault="00000000" w:rsidRPr="00000000" w14:paraId="0000019F">
      <w:pP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Projected GP</w:t>
      </w:r>
      <w:r w:rsidDel="00000000" w:rsidR="00000000" w:rsidRPr="00000000">
        <w:rPr>
          <w:rFonts w:ascii="Times New Roman" w:cs="Times New Roman" w:eastAsia="Times New Roman" w:hAnsi="Times New Roman"/>
          <w:vertAlign w:val="subscript"/>
          <w:rtl w:val="0"/>
        </w:rPr>
        <w:t xml:space="preserve">year</w:t>
      </w:r>
      <w:r w:rsidDel="00000000" w:rsidR="00000000" w:rsidRPr="00000000">
        <w:rPr>
          <w:rFonts w:ascii="Times New Roman" w:cs="Times New Roman" w:eastAsia="Times New Roman" w:hAnsi="Times New Roman"/>
          <w:rtl w:val="0"/>
        </w:rPr>
        <w:t xml:space="preserve">​=Current GP×(1+CAGR)</w:t>
      </w:r>
      <w:r w:rsidDel="00000000" w:rsidR="00000000" w:rsidRPr="00000000">
        <w:rPr>
          <w:rFonts w:ascii="Times New Roman" w:cs="Times New Roman" w:eastAsia="Times New Roman" w:hAnsi="Times New Roman"/>
          <w:vertAlign w:val="superscript"/>
          <w:rtl w:val="0"/>
        </w:rPr>
        <w:t xml:space="preserve">n</w:t>
      </w:r>
    </w:p>
    <w:p w:rsidR="00000000" w:rsidDel="00000000" w:rsidP="00000000" w:rsidRDefault="00000000" w:rsidRPr="00000000" w14:paraId="000001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1A1">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GP is the gross profit in the most recent year (2023 in this case).</w:t>
      </w:r>
    </w:p>
    <w:p w:rsidR="00000000" w:rsidDel="00000000" w:rsidP="00000000" w:rsidRDefault="00000000" w:rsidRPr="00000000" w14:paraId="000001A2">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CAGRis the compound annual growth rate, expressed as a decimal.</w:t>
      </w:r>
    </w:p>
    <w:p w:rsidR="00000000" w:rsidDel="00000000" w:rsidP="00000000" w:rsidRDefault="00000000" w:rsidRPr="00000000" w14:paraId="000001A3">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is the number of years into the future for the projection (4 years in this case).</w:t>
      </w:r>
    </w:p>
    <w:p w:rsidR="00000000" w:rsidDel="00000000" w:rsidP="00000000" w:rsidRDefault="00000000" w:rsidRPr="00000000" w14:paraId="000001A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1A5">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the CAGR percentage into a decimal by dividing by 100.</w:t>
      </w:r>
    </w:p>
    <w:p w:rsidR="00000000" w:rsidDel="00000000" w:rsidP="00000000" w:rsidRDefault="00000000" w:rsidRPr="00000000" w14:paraId="000001A6">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1 to the CAGR decimal.</w:t>
      </w:r>
    </w:p>
    <w:p w:rsidR="00000000" w:rsidDel="00000000" w:rsidP="00000000" w:rsidRDefault="00000000" w:rsidRPr="00000000" w14:paraId="000001A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Raise the result to the power of n (number of years into the future).</w:t>
      </w:r>
    </w:p>
    <w:p w:rsidR="00000000" w:rsidDel="00000000" w:rsidP="00000000" w:rsidRDefault="00000000" w:rsidRPr="00000000" w14:paraId="000001A8">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Multiply the current GP by the result to get the projected GP.</w:t>
      </w:r>
    </w:p>
    <w:p w:rsidR="00000000" w:rsidDel="00000000" w:rsidP="00000000" w:rsidRDefault="00000000" w:rsidRPr="00000000" w14:paraId="000001A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jpyu8m97fo9" w:id="33"/>
      <w:bookmarkEnd w:id="33"/>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wo7wsblc62" w:id="34"/>
      <w:bookmarkEnd w:id="34"/>
      <w:r w:rsidDel="00000000" w:rsidR="00000000" w:rsidRPr="00000000">
        <w:rPr>
          <w:rFonts w:ascii="Times New Roman" w:cs="Times New Roman" w:eastAsia="Times New Roman" w:hAnsi="Times New Roman"/>
          <w:b w:val="1"/>
          <w:color w:val="000000"/>
          <w:sz w:val="26"/>
          <w:szCs w:val="26"/>
          <w:rtl w:val="0"/>
        </w:rPr>
        <w:t xml:space="preserve">Adjusted Future Gross Profit (GP) Calculation:</w:t>
      </w:r>
    </w:p>
    <w:p w:rsidR="00000000" w:rsidDel="00000000" w:rsidP="00000000" w:rsidRDefault="00000000" w:rsidRPr="00000000" w14:paraId="000001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adjusted future GP takes into account the variability and possible adjustments in the growth rate to provide a more conservative or realistic future projection. This can involve using a different growth rate based on market conditions or internal strategic changes.</w:t>
      </w:r>
    </w:p>
    <w:p w:rsidR="00000000" w:rsidDel="00000000" w:rsidP="00000000" w:rsidRDefault="00000000" w:rsidRPr="00000000" w14:paraId="000001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simplicity, and assumption,   a slightly adjusted CAGR is used to factor in potential market fluctuations.  70% of the original CAGR is applied for this purpose:</w:t>
      </w:r>
    </w:p>
    <w:p w:rsidR="00000000" w:rsidDel="00000000" w:rsidP="00000000" w:rsidRDefault="00000000" w:rsidRPr="00000000" w14:paraId="000001A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si2rnij5cah" w:id="35"/>
      <w:bookmarkEnd w:id="35"/>
      <w:r w:rsidDel="00000000" w:rsidR="00000000" w:rsidRPr="00000000">
        <w:rPr>
          <w:rFonts w:ascii="Times New Roman" w:cs="Times New Roman" w:eastAsia="Times New Roman" w:hAnsi="Times New Roman"/>
          <w:b w:val="1"/>
          <w:color w:val="000000"/>
          <w:sz w:val="22"/>
          <w:szCs w:val="22"/>
          <w:rtl w:val="0"/>
        </w:rPr>
        <w:t xml:space="preserve">Adjusted Projection for Suncor Energy Inc (SU):</w:t>
      </w:r>
    </w:p>
    <w:p w:rsidR="00000000" w:rsidDel="00000000" w:rsidP="00000000" w:rsidRDefault="00000000" w:rsidRPr="00000000" w14:paraId="000001AE">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Adjusted CAGR: 0.7311×0.70=0.511770.7311 x 0.70 = 0.51177</w:t>
      </w:r>
    </w:p>
    <w:p w:rsidR="00000000" w:rsidDel="00000000" w:rsidP="00000000" w:rsidRDefault="00000000" w:rsidRPr="00000000" w14:paraId="000001A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1 to the adjusted CAGR: 1+0.51177=1.511771 </w:t>
      </w:r>
    </w:p>
    <w:p w:rsidR="00000000" w:rsidDel="00000000" w:rsidP="00000000" w:rsidRDefault="00000000" w:rsidRPr="00000000" w14:paraId="000001B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Raise to the power of 4 (for 4 years): 1.511774≈5.189</w:t>
      </w:r>
    </w:p>
    <w:p w:rsidR="00000000" w:rsidDel="00000000" w:rsidP="00000000" w:rsidRDefault="00000000" w:rsidRPr="00000000" w14:paraId="000001B1">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Multiply by the current GP: 21,924,000×5.189≈113,734,036</w:t>
      </w:r>
    </w:p>
    <w:p w:rsidR="00000000" w:rsidDel="00000000" w:rsidP="00000000" w:rsidRDefault="00000000" w:rsidRPr="00000000" w14:paraId="000001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 Adjusted projected GP for Suncor Energy Inc in 2027 is approximately 113,734,036.</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vertAlign w:val="superscript"/>
        </w:rPr>
      </w:pPr>
      <w:r w:rsidDel="00000000" w:rsidR="00000000" w:rsidRPr="00000000">
        <w:rPr>
          <w:rtl w:val="0"/>
        </w:rPr>
      </w:r>
    </w:p>
    <w:p w:rsidR="00000000" w:rsidDel="00000000" w:rsidP="00000000" w:rsidRDefault="00000000" w:rsidRPr="00000000" w14:paraId="000001B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Projected Gross Profit(GP) FOR Undervalued Company and their Peers:</w:t>
      </w:r>
    </w:p>
    <w:p w:rsidR="00000000" w:rsidDel="00000000" w:rsidP="00000000" w:rsidRDefault="00000000" w:rsidRPr="00000000" w14:paraId="000001B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table includes the projected GP for 2027, both with the original CAGR and the adjusted CAGR.</w:t>
      </w:r>
    </w:p>
    <w:tbl>
      <w:tblPr>
        <w:tblStyle w:val="Table7"/>
        <w:tblW w:w="10260.0" w:type="dxa"/>
        <w:jc w:val="left"/>
        <w:tblInd w:w="-10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260"/>
        <w:gridCol w:w="1050"/>
        <w:gridCol w:w="1920"/>
        <w:gridCol w:w="1530"/>
        <w:gridCol w:w="2235"/>
        <w:tblGridChange w:id="0">
          <w:tblGrid>
            <w:gridCol w:w="2265"/>
            <w:gridCol w:w="1260"/>
            <w:gridCol w:w="1050"/>
            <w:gridCol w:w="1920"/>
            <w:gridCol w:w="1530"/>
            <w:gridCol w:w="223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rFonts w:ascii="Times New Roman" w:cs="Times New Roman" w:eastAsia="Times New Roman" w:hAnsi="Times New Roman"/>
                <w:b w:val="1"/>
                <w:rtl w:val="0"/>
              </w:rPr>
              <w:t xml:space="preserve">Company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rFonts w:ascii="Times New Roman" w:cs="Times New Roman" w:eastAsia="Times New Roman" w:hAnsi="Times New Roman"/>
                <w:b w:val="1"/>
                <w:rtl w:val="0"/>
              </w:rPr>
              <w:t xml:space="preserve">Current GP (2023)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rFonts w:ascii="Times New Roman" w:cs="Times New Roman" w:eastAsia="Times New Roman" w:hAnsi="Times New Roman"/>
                <w:b w:val="1"/>
                <w:rtl w:val="0"/>
              </w:rPr>
              <w:t xml:space="preserve">CAGR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rFonts w:ascii="Times New Roman" w:cs="Times New Roman" w:eastAsia="Times New Roman" w:hAnsi="Times New Roman"/>
                <w:b w:val="1"/>
                <w:rtl w:val="0"/>
              </w:rPr>
              <w:t xml:space="preserve">Projected GP (2027)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rFonts w:ascii="Times New Roman" w:cs="Times New Roman" w:eastAsia="Times New Roman" w:hAnsi="Times New Roman"/>
                <w:b w:val="1"/>
                <w:rtl w:val="0"/>
              </w:rPr>
              <w:t xml:space="preserve">Adjusted CAGR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rFonts w:ascii="Times New Roman" w:cs="Times New Roman" w:eastAsia="Times New Roman" w:hAnsi="Times New Roman"/>
                <w:b w:val="1"/>
                <w:rtl w:val="0"/>
              </w:rPr>
              <w:t xml:space="preserve">Adjusted Projected GP (2027)</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Fonts w:ascii="Times New Roman" w:cs="Times New Roman" w:eastAsia="Times New Roman" w:hAnsi="Times New Roman"/>
                <w:rtl w:val="0"/>
              </w:rPr>
              <w:t xml:space="preserve">Suncor Energy Inc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rFonts w:ascii="Times New Roman" w:cs="Times New Roman" w:eastAsia="Times New Roman" w:hAnsi="Times New Roman"/>
                <w:rtl w:val="0"/>
              </w:rPr>
              <w:t xml:space="preserve">21,924,000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rFonts w:ascii="Times New Roman" w:cs="Times New Roman" w:eastAsia="Times New Roman" w:hAnsi="Times New Roman"/>
                <w:rtl w:val="0"/>
              </w:rPr>
              <w:t xml:space="preserve">73.11%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rFonts w:ascii="Times New Roman" w:cs="Times New Roman" w:eastAsia="Times New Roman" w:hAnsi="Times New Roman"/>
                <w:rtl w:val="0"/>
              </w:rPr>
              <w:t xml:space="preserve">191,794,000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rFonts w:ascii="Times New Roman" w:cs="Times New Roman" w:eastAsia="Times New Roman" w:hAnsi="Times New Roman"/>
                <w:rtl w:val="0"/>
              </w:rPr>
              <w:t xml:space="preserve">51.18%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rFonts w:ascii="Times New Roman" w:cs="Times New Roman" w:eastAsia="Times New Roman" w:hAnsi="Times New Roman"/>
                <w:rtl w:val="0"/>
              </w:rPr>
              <w:t xml:space="preserve">113,734,036</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Fonts w:ascii="Times New Roman" w:cs="Times New Roman" w:eastAsia="Times New Roman" w:hAnsi="Times New Roman"/>
                <w:rtl w:val="0"/>
              </w:rPr>
              <w:t xml:space="preserve">Murphy Oil Corp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rFonts w:ascii="Times New Roman" w:cs="Times New Roman" w:eastAsia="Times New Roman" w:hAnsi="Times New Roman"/>
                <w:rtl w:val="0"/>
              </w:rPr>
              <w:t xml:space="preserve">1,518,194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rFonts w:ascii="Times New Roman" w:cs="Times New Roman" w:eastAsia="Times New Roman" w:hAnsi="Times New Roman"/>
                <w:rtl w:val="0"/>
              </w:rPr>
              <w:t xml:space="preserve">8.84%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rFonts w:ascii="Times New Roman" w:cs="Times New Roman" w:eastAsia="Times New Roman" w:hAnsi="Times New Roman"/>
                <w:rtl w:val="0"/>
              </w:rPr>
              <w:t xml:space="preserve">2,108,893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rFonts w:ascii="Times New Roman" w:cs="Times New Roman" w:eastAsia="Times New Roman" w:hAnsi="Times New Roman"/>
                <w:rtl w:val="0"/>
              </w:rPr>
              <w:t xml:space="preserve">6.19%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rFonts w:ascii="Times New Roman" w:cs="Times New Roman" w:eastAsia="Times New Roman" w:hAnsi="Times New Roman"/>
                <w:rtl w:val="0"/>
              </w:rPr>
              <w:t xml:space="preserve">1,926,086</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Fonts w:ascii="Times New Roman" w:cs="Times New Roman" w:eastAsia="Times New Roman" w:hAnsi="Times New Roman"/>
                <w:rtl w:val="0"/>
              </w:rPr>
              <w:t xml:space="preserve">Profire Energy Inc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rFonts w:ascii="Times New Roman" w:cs="Times New Roman" w:eastAsia="Times New Roman" w:hAnsi="Times New Roman"/>
                <w:rtl w:val="0"/>
              </w:rPr>
              <w:t xml:space="preserve">30,532.02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rFonts w:ascii="Times New Roman" w:cs="Times New Roman" w:eastAsia="Times New Roman" w:hAnsi="Times New Roman"/>
                <w:rtl w:val="0"/>
              </w:rPr>
              <w:t xml:space="preserve">44.13%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rFonts w:ascii="Times New Roman" w:cs="Times New Roman" w:eastAsia="Times New Roman" w:hAnsi="Times New Roman"/>
                <w:rtl w:val="0"/>
              </w:rPr>
              <w:t xml:space="preserve">127,448.75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rFonts w:ascii="Times New Roman" w:cs="Times New Roman" w:eastAsia="Times New Roman" w:hAnsi="Times New Roman"/>
                <w:rtl w:val="0"/>
              </w:rPr>
              <w:t xml:space="preserve">30.89%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rFonts w:ascii="Times New Roman" w:cs="Times New Roman" w:eastAsia="Times New Roman" w:hAnsi="Times New Roman"/>
                <w:rtl w:val="0"/>
              </w:rPr>
              <w:t xml:space="preserve">87,778.96</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Fonts w:ascii="Times New Roman" w:cs="Times New Roman" w:eastAsia="Times New Roman" w:hAnsi="Times New Roman"/>
                <w:rtl w:val="0"/>
              </w:rPr>
              <w:t xml:space="preserve">California Resources Corp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rFonts w:ascii="Times New Roman" w:cs="Times New Roman" w:eastAsia="Times New Roman" w:hAnsi="Times New Roman"/>
                <w:rtl w:val="0"/>
              </w:rPr>
              <w:t xml:space="preserve">1,405,000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rFonts w:ascii="Times New Roman" w:cs="Times New Roman" w:eastAsia="Times New Roman" w:hAnsi="Times New Roman"/>
                <w:rtl w:val="0"/>
              </w:rPr>
              <w:t xml:space="preserve">7.47%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rFonts w:ascii="Times New Roman" w:cs="Times New Roman" w:eastAsia="Times New Roman" w:hAnsi="Times New Roman"/>
                <w:rtl w:val="0"/>
              </w:rPr>
              <w:t xml:space="preserve">1,908,012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rFonts w:ascii="Times New Roman" w:cs="Times New Roman" w:eastAsia="Times New Roman" w:hAnsi="Times New Roman"/>
                <w:rtl w:val="0"/>
              </w:rPr>
              <w:t xml:space="preserve">5.23%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rFonts w:ascii="Times New Roman" w:cs="Times New Roman" w:eastAsia="Times New Roman" w:hAnsi="Times New Roman"/>
                <w:rtl w:val="0"/>
              </w:rPr>
              <w:t xml:space="preserve">1,720,274</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Fonts w:ascii="Times New Roman" w:cs="Times New Roman" w:eastAsia="Times New Roman" w:hAnsi="Times New Roman"/>
                <w:rtl w:val="0"/>
              </w:rPr>
              <w:t xml:space="preserve">Civitas Resources Inc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rFonts w:ascii="Times New Roman" w:cs="Times New Roman" w:eastAsia="Times New Roman" w:hAnsi="Times New Roman"/>
                <w:rtl w:val="0"/>
              </w:rPr>
              <w:t xml:space="preserve">1,671,035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rFonts w:ascii="Times New Roman" w:cs="Times New Roman" w:eastAsia="Times New Roman" w:hAnsi="Times New Roman"/>
                <w:rtl w:val="0"/>
              </w:rPr>
              <w:t xml:space="preserve">252.81%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rFonts w:ascii="Times New Roman" w:cs="Times New Roman" w:eastAsia="Times New Roman" w:hAnsi="Times New Roman"/>
                <w:rtl w:val="0"/>
              </w:rPr>
              <w:t xml:space="preserve">80,820,138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rFonts w:ascii="Times New Roman" w:cs="Times New Roman" w:eastAsia="Times New Roman" w:hAnsi="Times New Roman"/>
                <w:rtl w:val="0"/>
              </w:rPr>
              <w:t xml:space="preserve">176.97%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rFonts w:ascii="Times New Roman" w:cs="Times New Roman" w:eastAsia="Times New Roman" w:hAnsi="Times New Roman"/>
                <w:rtl w:val="0"/>
              </w:rPr>
              <w:t xml:space="preserve">39,812,190</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Fonts w:ascii="Times New Roman" w:cs="Times New Roman" w:eastAsia="Times New Roman" w:hAnsi="Times New Roman"/>
                <w:rtl w:val="0"/>
              </w:rPr>
              <w:t xml:space="preserve">Teekay Tankers Ltd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sz w:val="20"/>
                <w:szCs w:val="20"/>
              </w:rPr>
            </w:pPr>
            <w:r w:rsidDel="00000000" w:rsidR="00000000" w:rsidRPr="00000000">
              <w:rPr>
                <w:rFonts w:ascii="Times New Roman" w:cs="Times New Roman" w:eastAsia="Times New Roman" w:hAnsi="Times New Roman"/>
                <w:rtl w:val="0"/>
              </w:rPr>
              <w:t xml:space="preserve">572,734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rFonts w:ascii="Times New Roman" w:cs="Times New Roman" w:eastAsia="Times New Roman" w:hAnsi="Times New Roman"/>
                <w:rtl w:val="0"/>
              </w:rPr>
              <w:t xml:space="preserve">31.91%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rFonts w:ascii="Times New Roman" w:cs="Times New Roman" w:eastAsia="Times New Roman" w:hAnsi="Times New Roman"/>
                <w:rtl w:val="0"/>
              </w:rPr>
              <w:t xml:space="preserve">2,089,684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rFonts w:ascii="Times New Roman" w:cs="Times New Roman" w:eastAsia="Times New Roman" w:hAnsi="Times New Roman"/>
                <w:rtl w:val="0"/>
              </w:rPr>
              <w:t xml:space="preserve">22.34%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rFonts w:ascii="Times New Roman" w:cs="Times New Roman" w:eastAsia="Times New Roman" w:hAnsi="Times New Roman"/>
                <w:rtl w:val="0"/>
              </w:rPr>
              <w:t xml:space="preserve">1,403,380</w:t>
            </w: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rFonts w:ascii="Times New Roman" w:cs="Times New Roman" w:eastAsia="Times New Roman" w:hAnsi="Times New Roman"/>
                <w:rtl w:val="0"/>
              </w:rPr>
              <w:t xml:space="preserve">Kosmos Energy Ltd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rFonts w:ascii="Times New Roman" w:cs="Times New Roman" w:eastAsia="Times New Roman" w:hAnsi="Times New Roman"/>
                <w:rtl w:val="0"/>
              </w:rPr>
              <w:t xml:space="preserve">866,584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rFonts w:ascii="Times New Roman" w:cs="Times New Roman" w:eastAsia="Times New Roman" w:hAnsi="Times New Roman"/>
                <w:rtl w:val="0"/>
              </w:rPr>
              <w:t xml:space="preserve">18.46%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sz w:val="20"/>
                <w:szCs w:val="20"/>
              </w:rPr>
            </w:pPr>
            <w:r w:rsidDel="00000000" w:rsidR="00000000" w:rsidRPr="00000000">
              <w:rPr>
                <w:rFonts w:ascii="Times New Roman" w:cs="Times New Roman" w:eastAsia="Times New Roman" w:hAnsi="Times New Roman"/>
                <w:rtl w:val="0"/>
              </w:rPr>
              <w:t xml:space="preserve">1,760,998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rFonts w:ascii="Times New Roman" w:cs="Times New Roman" w:eastAsia="Times New Roman" w:hAnsi="Times New Roman"/>
                <w:rtl w:val="0"/>
              </w:rPr>
              <w:t xml:space="preserve">12.92%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rFonts w:ascii="Times New Roman" w:cs="Times New Roman" w:eastAsia="Times New Roman" w:hAnsi="Times New Roman"/>
                <w:rtl w:val="0"/>
              </w:rPr>
              <w:t xml:space="preserve">1,374,994</w:t>
            </w:r>
            <w:r w:rsidDel="00000000" w:rsidR="00000000" w:rsidRPr="00000000">
              <w:rPr>
                <w:rtl w:val="0"/>
              </w:rPr>
            </w:r>
          </w:p>
        </w:tc>
      </w:tr>
    </w:tbl>
    <w:p w:rsidR="00000000" w:rsidDel="00000000" w:rsidP="00000000" w:rsidRDefault="00000000" w:rsidRPr="00000000" w14:paraId="000001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3k046pwm37l" w:id="36"/>
      <w:bookmarkEnd w:id="36"/>
      <w:r w:rsidDel="00000000" w:rsidR="00000000" w:rsidRPr="00000000">
        <w:rPr>
          <w:rtl w:val="0"/>
        </w:rPr>
      </w:r>
    </w:p>
    <w:p w:rsidR="00000000" w:rsidDel="00000000" w:rsidP="00000000" w:rsidRDefault="00000000" w:rsidRPr="00000000" w14:paraId="000001E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Recommendations:</w:t>
      </w:r>
    </w:p>
    <w:p w:rsidR="00000000" w:rsidDel="00000000" w:rsidP="00000000" w:rsidRDefault="00000000" w:rsidRPr="00000000" w14:paraId="000001EA">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the projected Gross Profit (GP) for 2027, here are the conclusions and recommendations:</w:t>
      </w:r>
      <w:r w:rsidDel="00000000" w:rsidR="00000000" w:rsidRPr="00000000">
        <w:rPr>
          <w:rtl w:val="0"/>
        </w:rPr>
      </w:r>
    </w:p>
    <w:p w:rsidR="00000000" w:rsidDel="00000000" w:rsidP="00000000" w:rsidRDefault="00000000" w:rsidRPr="00000000" w14:paraId="000001EB">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Suncor Energy Inc (SU)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Suncor Energy Inc shows the highest projected GP growth, with an adjusted projected GP of $113,734,036 in 2027. This substantial growth indicates strong potential for the company to increase its market share and profitability.</w:t>
      </w:r>
    </w:p>
    <w:p w:rsidR="00000000" w:rsidDel="00000000" w:rsidP="00000000" w:rsidRDefault="00000000" w:rsidRPr="00000000" w14:paraId="000001ED">
      <w:pPr>
        <w:numPr>
          <w:ilvl w:val="1"/>
          <w:numId w:val="10"/>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Invest heavily in Suncor Energy Inc. Its strong growth prospects and significant increase in GP make it a prime candidate for investment. Monitor market conditions and technological advancements to leverage any opportunities for further growth.</w:t>
      </w:r>
    </w:p>
    <w:p w:rsidR="00000000" w:rsidDel="00000000" w:rsidP="00000000" w:rsidRDefault="00000000" w:rsidRPr="00000000" w14:paraId="000001E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b w:val="1"/>
          <w:sz w:val="24"/>
          <w:szCs w:val="24"/>
          <w:rtl w:val="0"/>
        </w:rPr>
        <w:t xml:space="preserve">Murphy Oil Corp (MUR):</w:t>
      </w:r>
    </w:p>
    <w:p w:rsidR="00000000" w:rsidDel="00000000" w:rsidP="00000000" w:rsidRDefault="00000000" w:rsidRPr="00000000" w14:paraId="000001EF">
      <w:pPr>
        <w:numPr>
          <w:ilvl w:val="0"/>
          <w:numId w:val="14"/>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Murphy Oil Corp shows a moderate projected GP growth with an adjusted projected GP of $1,926,086 in 2027. While the growth is positive, it is lower compared to Suncor.</w:t>
      </w:r>
    </w:p>
    <w:p w:rsidR="00000000" w:rsidDel="00000000" w:rsidP="00000000" w:rsidRDefault="00000000" w:rsidRPr="00000000" w14:paraId="000001F0">
      <w:pPr>
        <w:numPr>
          <w:ilvl w:val="0"/>
          <w:numId w:val="14"/>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Maintain a moderate investment in Murphy Oil Corp. While it shows growth potential, it's essential to keep an eye on market conditions and operational efficiency to ensure sustained profitability.</w:t>
      </w:r>
    </w:p>
    <w:p w:rsidR="00000000" w:rsidDel="00000000" w:rsidP="00000000" w:rsidRDefault="00000000" w:rsidRPr="00000000" w14:paraId="000001F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Profire Energy Inc (PFIE):</w:t>
      </w:r>
    </w:p>
    <w:p w:rsidR="00000000" w:rsidDel="00000000" w:rsidP="00000000" w:rsidRDefault="00000000" w:rsidRPr="00000000" w14:paraId="000001F4">
      <w:pPr>
        <w:numPr>
          <w:ilvl w:val="0"/>
          <w:numId w:val="2"/>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Profire Energy Inc shows a strong growth rate with an adjusted projected GP of $87,778.96 in 2027. The company's growth rate is impressive, indicating potential for substantial returns.</w:t>
      </w:r>
    </w:p>
    <w:p w:rsidR="00000000" w:rsidDel="00000000" w:rsidP="00000000" w:rsidRDefault="00000000" w:rsidRPr="00000000" w14:paraId="000001F5">
      <w:pPr>
        <w:numPr>
          <w:ilvl w:val="0"/>
          <w:numId w:val="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Increase investment in Profire Energy Inc. Its high growth rate suggests significant potential for future profitability. Focus on enhancing operational efficiencies and adopting new technologies to sustain this growth</w:t>
      </w:r>
    </w:p>
    <w:p w:rsidR="00000000" w:rsidDel="00000000" w:rsidP="00000000" w:rsidRDefault="00000000" w:rsidRPr="00000000" w14:paraId="000001F6">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California Resources Corp (CRC):</w:t>
      </w:r>
    </w:p>
    <w:p w:rsidR="00000000" w:rsidDel="00000000" w:rsidP="00000000" w:rsidRDefault="00000000" w:rsidRPr="00000000" w14:paraId="000001F7">
      <w:pPr>
        <w:numPr>
          <w:ilvl w:val="1"/>
          <w:numId w:val="2"/>
        </w:numPr>
        <w:spacing w:after="0" w:afterAutospacing="0" w:before="24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California Resources Corp shows a steady growth rate with an adjusted projected GP of $1,720,274 in 2027. The company demonstrates reliable performance, indicating stability.</w:t>
      </w:r>
    </w:p>
    <w:p w:rsidR="00000000" w:rsidDel="00000000" w:rsidP="00000000" w:rsidRDefault="00000000" w:rsidRPr="00000000" w14:paraId="000001F8">
      <w:pPr>
        <w:numPr>
          <w:ilvl w:val="1"/>
          <w:numId w:val="2"/>
        </w:numPr>
        <w:spacing w:after="240" w:before="0" w:beforeAutospacing="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Maintain a steady investment in California Resources Corp. Its stable growth makes it a reliable option for long-term investment. Monitor regulatory changes and market conditions to mitigate any potential risks.</w:t>
      </w:r>
    </w:p>
    <w:p w:rsidR="00000000" w:rsidDel="00000000" w:rsidP="00000000" w:rsidRDefault="00000000" w:rsidRPr="00000000" w14:paraId="000001F9">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4xbarcbif4ip" w:id="37"/>
      <w:bookmarkEnd w:id="37"/>
      <w:r w:rsidDel="00000000" w:rsidR="00000000" w:rsidRPr="00000000">
        <w:rPr>
          <w:rFonts w:ascii="Times New Roman" w:cs="Times New Roman" w:eastAsia="Times New Roman" w:hAnsi="Times New Roman"/>
          <w:b w:val="1"/>
          <w:color w:val="000000"/>
          <w:sz w:val="24"/>
          <w:szCs w:val="24"/>
          <w:rtl w:val="0"/>
        </w:rPr>
        <w:t xml:space="preserve">Additional Variables:</w:t>
      </w:r>
    </w:p>
    <w:p w:rsidR="00000000" w:rsidDel="00000000" w:rsidP="00000000" w:rsidRDefault="00000000" w:rsidRPr="00000000" w14:paraId="000001F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refine the projection model and decision-making process, the following additional variables are considered:</w:t>
      </w:r>
    </w:p>
    <w:p w:rsidR="00000000" w:rsidDel="00000000" w:rsidP="00000000" w:rsidRDefault="00000000" w:rsidRPr="00000000" w14:paraId="000001FC">
      <w:pPr>
        <w:numPr>
          <w:ilvl w:val="0"/>
          <w:numId w:val="12"/>
        </w:numPr>
        <w:spacing w:after="0" w:afterAutospacing="0" w:before="240" w:line="240" w:lineRule="auto"/>
        <w:ind w:left="720" w:hanging="360"/>
        <w:rPr>
          <w:rFonts w:ascii="Georgia" w:cs="Georgia" w:eastAsia="Georgia" w:hAnsi="Georgia"/>
          <w:sz w:val="24"/>
          <w:szCs w:val="24"/>
        </w:rPr>
      </w:pPr>
      <w:r w:rsidDel="00000000" w:rsidR="00000000" w:rsidRPr="00000000">
        <w:rPr>
          <w:rFonts w:ascii="Times New Roman" w:cs="Times New Roman" w:eastAsia="Times New Roman" w:hAnsi="Times New Roman"/>
          <w:b w:val="1"/>
          <w:sz w:val="24"/>
          <w:szCs w:val="24"/>
          <w:rtl w:val="0"/>
        </w:rPr>
        <w:t xml:space="preserve">Market Conditions:</w:t>
      </w:r>
      <w:r w:rsidDel="00000000" w:rsidR="00000000" w:rsidRPr="00000000">
        <w:rPr>
          <w:rFonts w:ascii="Times New Roman" w:cs="Times New Roman" w:eastAsia="Times New Roman" w:hAnsi="Times New Roman"/>
          <w:sz w:val="24"/>
          <w:szCs w:val="24"/>
          <w:rtl w:val="0"/>
        </w:rPr>
        <w:t xml:space="preserve"> Monitor changes in oil prices, geopolitical factors, and economic indicators that could impact the energy sector.</w:t>
      </w:r>
    </w:p>
    <w:p w:rsidR="00000000" w:rsidDel="00000000" w:rsidP="00000000" w:rsidRDefault="00000000" w:rsidRPr="00000000" w14:paraId="000001FD">
      <w:pPr>
        <w:numPr>
          <w:ilvl w:val="0"/>
          <w:numId w:val="12"/>
        </w:numPr>
        <w:spacing w:after="0" w:afterAutospacing="0" w:before="0" w:beforeAutospacing="0" w:line="240" w:lineRule="auto"/>
        <w:ind w:left="720" w:hanging="360"/>
        <w:rPr>
          <w:rFonts w:ascii="Georgia" w:cs="Georgia" w:eastAsia="Georgia" w:hAnsi="Georgia"/>
          <w:sz w:val="24"/>
          <w:szCs w:val="24"/>
        </w:rPr>
      </w:pPr>
      <w:r w:rsidDel="00000000" w:rsidR="00000000" w:rsidRPr="00000000">
        <w:rPr>
          <w:rFonts w:ascii="Times New Roman" w:cs="Times New Roman" w:eastAsia="Times New Roman" w:hAnsi="Times New Roman"/>
          <w:b w:val="1"/>
          <w:sz w:val="24"/>
          <w:szCs w:val="24"/>
          <w:rtl w:val="0"/>
        </w:rPr>
        <w:t xml:space="preserve">Regulatory Changes:</w:t>
      </w:r>
      <w:r w:rsidDel="00000000" w:rsidR="00000000" w:rsidRPr="00000000">
        <w:rPr>
          <w:rFonts w:ascii="Times New Roman" w:cs="Times New Roman" w:eastAsia="Times New Roman" w:hAnsi="Times New Roman"/>
          <w:sz w:val="24"/>
          <w:szCs w:val="24"/>
          <w:rtl w:val="0"/>
        </w:rPr>
        <w:t xml:space="preserve"> Stay updated on environmental regulations, tax policies, and other government interventions that could affect operations.</w:t>
      </w:r>
    </w:p>
    <w:p w:rsidR="00000000" w:rsidDel="00000000" w:rsidP="00000000" w:rsidRDefault="00000000" w:rsidRPr="00000000" w14:paraId="000001FE">
      <w:pPr>
        <w:numPr>
          <w:ilvl w:val="0"/>
          <w:numId w:val="12"/>
        </w:numPr>
        <w:spacing w:after="240" w:before="0" w:beforeAutospacing="0" w:line="240" w:lineRule="auto"/>
        <w:ind w:left="720" w:hanging="360"/>
        <w:rPr>
          <w:rFonts w:ascii="Georgia" w:cs="Georgia" w:eastAsia="Georgia" w:hAnsi="Georgia"/>
          <w:sz w:val="24"/>
          <w:szCs w:val="24"/>
        </w:rPr>
      </w:pPr>
      <w:r w:rsidDel="00000000" w:rsidR="00000000" w:rsidRPr="00000000">
        <w:rPr>
          <w:rFonts w:ascii="Times New Roman" w:cs="Times New Roman" w:eastAsia="Times New Roman" w:hAnsi="Times New Roman"/>
          <w:b w:val="1"/>
          <w:sz w:val="24"/>
          <w:szCs w:val="24"/>
          <w:rtl w:val="0"/>
        </w:rPr>
        <w:t xml:space="preserve">Technological Advancements:</w:t>
      </w:r>
      <w:r w:rsidDel="00000000" w:rsidR="00000000" w:rsidRPr="00000000">
        <w:rPr>
          <w:rFonts w:ascii="Times New Roman" w:cs="Times New Roman" w:eastAsia="Times New Roman" w:hAnsi="Times New Roman"/>
          <w:sz w:val="24"/>
          <w:szCs w:val="24"/>
          <w:rtl w:val="0"/>
        </w:rPr>
        <w:t xml:space="preserve"> Invest in new technologies to improve efficiency, reduce costs, and stay competitive.</w:t>
      </w:r>
    </w:p>
    <w:p w:rsidR="00000000" w:rsidDel="00000000" w:rsidP="00000000" w:rsidRDefault="00000000" w:rsidRPr="00000000" w14:paraId="000001FF">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jzyrzml2l3fm" w:id="38"/>
      <w:bookmarkEnd w:id="38"/>
      <w:r w:rsidDel="00000000" w:rsidR="00000000" w:rsidRPr="00000000">
        <w:rPr>
          <w:rtl w:val="0"/>
        </w:rPr>
      </w:r>
    </w:p>
    <w:p w:rsidR="00000000" w:rsidDel="00000000" w:rsidP="00000000" w:rsidRDefault="00000000" w:rsidRPr="00000000" w14:paraId="00000200">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wa9fxrycg1nk" w:id="39"/>
      <w:bookmarkEnd w:id="39"/>
      <w:r w:rsidDel="00000000" w:rsidR="00000000" w:rsidRPr="00000000">
        <w:rPr>
          <w:rFonts w:ascii="Times New Roman" w:cs="Times New Roman" w:eastAsia="Times New Roman" w:hAnsi="Times New Roman"/>
          <w:b w:val="1"/>
          <w:color w:val="000000"/>
          <w:sz w:val="24"/>
          <w:szCs w:val="24"/>
          <w:rtl w:val="0"/>
        </w:rPr>
        <w:t xml:space="preserve">Impact on Each Company</w:t>
      </w:r>
    </w:p>
    <w:p w:rsidR="00000000" w:rsidDel="00000000" w:rsidP="00000000" w:rsidRDefault="00000000" w:rsidRPr="00000000" w14:paraId="0000020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Suncor Energy Inc (SU):</w:t>
      </w:r>
    </w:p>
    <w:p w:rsidR="00000000" w:rsidDel="00000000" w:rsidP="00000000" w:rsidRDefault="00000000" w:rsidRPr="00000000" w14:paraId="00000202">
      <w:pPr>
        <w:numPr>
          <w:ilvl w:val="0"/>
          <w:numId w:val="1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Conditions:</w:t>
      </w:r>
      <w:r w:rsidDel="00000000" w:rsidR="00000000" w:rsidRPr="00000000">
        <w:rPr>
          <w:rFonts w:ascii="Times New Roman" w:cs="Times New Roman" w:eastAsia="Times New Roman" w:hAnsi="Times New Roman"/>
          <w:sz w:val="24"/>
          <w:szCs w:val="24"/>
          <w:rtl w:val="0"/>
        </w:rPr>
        <w:t xml:space="preserve"> Benefiting from stable oil prices and geopolitical conditions, Suncor is likely to see increased revenues and profitability, enhancing its valuation.</w:t>
      </w:r>
    </w:p>
    <w:p w:rsidR="00000000" w:rsidDel="00000000" w:rsidP="00000000" w:rsidRDefault="00000000" w:rsidRPr="00000000" w14:paraId="00000203">
      <w:pPr>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Technological Advancements:</w:t>
      </w:r>
      <w:r w:rsidDel="00000000" w:rsidR="00000000" w:rsidRPr="00000000">
        <w:rPr>
          <w:rFonts w:ascii="Times New Roman" w:cs="Times New Roman" w:eastAsia="Times New Roman" w:hAnsi="Times New Roman"/>
          <w:sz w:val="24"/>
          <w:szCs w:val="24"/>
          <w:rtl w:val="0"/>
        </w:rPr>
        <w:t xml:space="preserve"> Investing in new technologies will boost efficiency and production, driving growth and improving the company's market position.</w:t>
      </w:r>
    </w:p>
    <w:p w:rsidR="00000000" w:rsidDel="00000000" w:rsidP="00000000" w:rsidRDefault="00000000" w:rsidRPr="00000000" w14:paraId="00000204">
      <w:pPr>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Changes:</w:t>
      </w:r>
      <w:r w:rsidDel="00000000" w:rsidR="00000000" w:rsidRPr="00000000">
        <w:rPr>
          <w:rFonts w:ascii="Times New Roman" w:cs="Times New Roman" w:eastAsia="Times New Roman" w:hAnsi="Times New Roman"/>
          <w:sz w:val="24"/>
          <w:szCs w:val="24"/>
          <w:rtl w:val="0"/>
        </w:rPr>
        <w:t xml:space="preserve"> Favorable regulations, such as incentives for clean energy, will reduce costs and improve profitability, positively impacting Suncor’s value.</w:t>
      </w:r>
    </w:p>
    <w:p w:rsidR="00000000" w:rsidDel="00000000" w:rsidP="00000000" w:rsidRDefault="00000000" w:rsidRPr="00000000" w14:paraId="00000205">
      <w:pPr>
        <w:numPr>
          <w:ilvl w:val="0"/>
          <w:numId w:val="1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Energy Demand:</w:t>
      </w:r>
      <w:r w:rsidDel="00000000" w:rsidR="00000000" w:rsidRPr="00000000">
        <w:rPr>
          <w:rFonts w:ascii="Times New Roman" w:cs="Times New Roman" w:eastAsia="Times New Roman" w:hAnsi="Times New Roman"/>
          <w:sz w:val="24"/>
          <w:szCs w:val="24"/>
          <w:rtl w:val="0"/>
        </w:rPr>
        <w:t xml:space="preserve"> Increasing global energy demand will lead to higher sales and profitability, further boosting the company's valuation.</w:t>
      </w:r>
    </w:p>
    <w:p w:rsidR="00000000" w:rsidDel="00000000" w:rsidP="00000000" w:rsidRDefault="00000000" w:rsidRPr="00000000" w14:paraId="00000206">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Murphy Oil Corp (MUR):</w:t>
      </w:r>
    </w:p>
    <w:p w:rsidR="00000000" w:rsidDel="00000000" w:rsidP="00000000" w:rsidRDefault="00000000" w:rsidRPr="00000000" w14:paraId="00000208">
      <w:pPr>
        <w:numPr>
          <w:ilvl w:val="0"/>
          <w:numId w:val="1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Conditions:</w:t>
      </w:r>
      <w:r w:rsidDel="00000000" w:rsidR="00000000" w:rsidRPr="00000000">
        <w:rPr>
          <w:rFonts w:ascii="Times New Roman" w:cs="Times New Roman" w:eastAsia="Times New Roman" w:hAnsi="Times New Roman"/>
          <w:sz w:val="24"/>
          <w:szCs w:val="24"/>
          <w:rtl w:val="0"/>
        </w:rPr>
        <w:t xml:space="preserve"> Stable market conditions will help maintain steady revenue growth, positively affecting Murphy Oil’s value.</w:t>
      </w:r>
    </w:p>
    <w:p w:rsidR="00000000" w:rsidDel="00000000" w:rsidP="00000000" w:rsidRDefault="00000000" w:rsidRPr="00000000" w14:paraId="00000209">
      <w:pPr>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Technological Advancements:</w:t>
      </w:r>
      <w:r w:rsidDel="00000000" w:rsidR="00000000" w:rsidRPr="00000000">
        <w:rPr>
          <w:rFonts w:ascii="Times New Roman" w:cs="Times New Roman" w:eastAsia="Times New Roman" w:hAnsi="Times New Roman"/>
          <w:sz w:val="24"/>
          <w:szCs w:val="24"/>
          <w:rtl w:val="0"/>
        </w:rPr>
        <w:t xml:space="preserve"> Embracing new technologies will enhance operational efficiency and reduce costs, supporting long-term growth.</w:t>
      </w:r>
    </w:p>
    <w:p w:rsidR="00000000" w:rsidDel="00000000" w:rsidP="00000000" w:rsidRDefault="00000000" w:rsidRPr="00000000" w14:paraId="0000020A">
      <w:pPr>
        <w:numPr>
          <w:ilvl w:val="0"/>
          <w:numId w:val="1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Changes:</w:t>
      </w:r>
      <w:r w:rsidDel="00000000" w:rsidR="00000000" w:rsidRPr="00000000">
        <w:rPr>
          <w:rFonts w:ascii="Times New Roman" w:cs="Times New Roman" w:eastAsia="Times New Roman" w:hAnsi="Times New Roman"/>
          <w:sz w:val="24"/>
          <w:szCs w:val="24"/>
          <w:rtl w:val="0"/>
        </w:rPr>
        <w:t xml:space="preserve"> Navigating regulatory changes effectively will minimize compliance costs and maximize benefits, aiding in maintaining profitability.</w:t>
      </w:r>
    </w:p>
    <w:p w:rsidR="00000000" w:rsidDel="00000000" w:rsidP="00000000" w:rsidRDefault="00000000" w:rsidRPr="00000000" w14:paraId="0000020B">
      <w:pPr>
        <w:numPr>
          <w:ilvl w:val="0"/>
          <w:numId w:val="1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Energy Demand:</w:t>
      </w:r>
      <w:r w:rsidDel="00000000" w:rsidR="00000000" w:rsidRPr="00000000">
        <w:rPr>
          <w:rFonts w:ascii="Times New Roman" w:cs="Times New Roman" w:eastAsia="Times New Roman" w:hAnsi="Times New Roman"/>
          <w:sz w:val="24"/>
          <w:szCs w:val="24"/>
          <w:rtl w:val="0"/>
        </w:rPr>
        <w:t xml:space="preserve"> Steady demand growth will support revenue stability and profitability, positively impacting Murphy Oil’s valuation.</w:t>
      </w:r>
    </w:p>
    <w:p w:rsidR="00000000" w:rsidDel="00000000" w:rsidP="00000000" w:rsidRDefault="00000000" w:rsidRPr="00000000" w14:paraId="0000020C">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Profire Energy Inc (PFIE):</w:t>
      </w:r>
    </w:p>
    <w:p w:rsidR="00000000" w:rsidDel="00000000" w:rsidP="00000000" w:rsidRDefault="00000000" w:rsidRPr="00000000" w14:paraId="0000020E">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Conditions:</w:t>
      </w:r>
      <w:r w:rsidDel="00000000" w:rsidR="00000000" w:rsidRPr="00000000">
        <w:rPr>
          <w:rFonts w:ascii="Times New Roman" w:cs="Times New Roman" w:eastAsia="Times New Roman" w:hAnsi="Times New Roman"/>
          <w:sz w:val="24"/>
          <w:szCs w:val="24"/>
          <w:rtl w:val="0"/>
        </w:rPr>
        <w:t xml:space="preserve"> Favorable market conditions will enhance revenue growth and profitability, improving Profire Energy’s valuation.</w:t>
      </w:r>
    </w:p>
    <w:p w:rsidR="00000000" w:rsidDel="00000000" w:rsidP="00000000" w:rsidRDefault="00000000" w:rsidRPr="00000000" w14:paraId="0000020F">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Technological Advancements:</w:t>
      </w:r>
      <w:r w:rsidDel="00000000" w:rsidR="00000000" w:rsidRPr="00000000">
        <w:rPr>
          <w:rFonts w:ascii="Times New Roman" w:cs="Times New Roman" w:eastAsia="Times New Roman" w:hAnsi="Times New Roman"/>
          <w:sz w:val="24"/>
          <w:szCs w:val="24"/>
          <w:rtl w:val="0"/>
        </w:rPr>
        <w:t xml:space="preserve"> Adoption of cutting-edge technologies will improve operational efficiencies and drive profitability.</w:t>
      </w:r>
    </w:p>
    <w:p w:rsidR="00000000" w:rsidDel="00000000" w:rsidP="00000000" w:rsidRDefault="00000000" w:rsidRPr="00000000" w14:paraId="00000210">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Changes:</w:t>
      </w:r>
      <w:r w:rsidDel="00000000" w:rsidR="00000000" w:rsidRPr="00000000">
        <w:rPr>
          <w:rFonts w:ascii="Times New Roman" w:cs="Times New Roman" w:eastAsia="Times New Roman" w:hAnsi="Times New Roman"/>
          <w:sz w:val="24"/>
          <w:szCs w:val="24"/>
          <w:rtl w:val="0"/>
        </w:rPr>
        <w:t xml:space="preserve"> Favorable regulatory changes will reduce compliance costs and improve profitability.</w:t>
      </w:r>
    </w:p>
    <w:p w:rsidR="00000000" w:rsidDel="00000000" w:rsidP="00000000" w:rsidRDefault="00000000" w:rsidRPr="00000000" w14:paraId="00000211">
      <w:pPr>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Energy Demand:</w:t>
      </w:r>
      <w:r w:rsidDel="00000000" w:rsidR="00000000" w:rsidRPr="00000000">
        <w:rPr>
          <w:rFonts w:ascii="Times New Roman" w:cs="Times New Roman" w:eastAsia="Times New Roman" w:hAnsi="Times New Roman"/>
          <w:sz w:val="24"/>
          <w:szCs w:val="24"/>
          <w:rtl w:val="0"/>
        </w:rPr>
        <w:t xml:space="preserve"> Rising demand for energy will lead to increased sales and profitability, boosting Profire Energy’s valuation.</w:t>
      </w:r>
    </w:p>
    <w:p w:rsidR="00000000" w:rsidDel="00000000" w:rsidP="00000000" w:rsidRDefault="00000000" w:rsidRPr="00000000" w14:paraId="00000212">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California Resources Corp (CRC):</w:t>
      </w:r>
    </w:p>
    <w:p w:rsidR="00000000" w:rsidDel="00000000" w:rsidP="00000000" w:rsidRDefault="00000000" w:rsidRPr="00000000" w14:paraId="00000214">
      <w:pPr>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Conditions:</w:t>
      </w:r>
      <w:r w:rsidDel="00000000" w:rsidR="00000000" w:rsidRPr="00000000">
        <w:rPr>
          <w:rFonts w:ascii="Times New Roman" w:cs="Times New Roman" w:eastAsia="Times New Roman" w:hAnsi="Times New Roman"/>
          <w:sz w:val="24"/>
          <w:szCs w:val="24"/>
          <w:rtl w:val="0"/>
        </w:rPr>
        <w:t xml:space="preserve"> Stable market conditions will support steady revenue and profitability growth, positively impacting CRC’s value.</w:t>
      </w:r>
    </w:p>
    <w:p w:rsidR="00000000" w:rsidDel="00000000" w:rsidP="00000000" w:rsidRDefault="00000000" w:rsidRPr="00000000" w14:paraId="00000215">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Technological Advancements:</w:t>
      </w:r>
      <w:r w:rsidDel="00000000" w:rsidR="00000000" w:rsidRPr="00000000">
        <w:rPr>
          <w:rFonts w:ascii="Times New Roman" w:cs="Times New Roman" w:eastAsia="Times New Roman" w:hAnsi="Times New Roman"/>
          <w:sz w:val="24"/>
          <w:szCs w:val="24"/>
          <w:rtl w:val="0"/>
        </w:rPr>
        <w:t xml:space="preserve"> Investing in new technologies will enhance operational efficiency and drive profitability.</w:t>
      </w:r>
    </w:p>
    <w:p w:rsidR="00000000" w:rsidDel="00000000" w:rsidP="00000000" w:rsidRDefault="00000000" w:rsidRPr="00000000" w14:paraId="00000216">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Changes:</w:t>
      </w:r>
      <w:r w:rsidDel="00000000" w:rsidR="00000000" w:rsidRPr="00000000">
        <w:rPr>
          <w:rFonts w:ascii="Times New Roman" w:cs="Times New Roman" w:eastAsia="Times New Roman" w:hAnsi="Times New Roman"/>
          <w:sz w:val="24"/>
          <w:szCs w:val="24"/>
          <w:rtl w:val="0"/>
        </w:rPr>
        <w:t xml:space="preserve"> Favorable regulations will reduce compliance costs and improve profitability.</w:t>
      </w:r>
    </w:p>
    <w:p w:rsidR="00000000" w:rsidDel="00000000" w:rsidP="00000000" w:rsidRDefault="00000000" w:rsidRPr="00000000" w14:paraId="00000217">
      <w:pPr>
        <w:numPr>
          <w:ilvl w:val="0"/>
          <w:numId w:val="1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Energy Demand:</w:t>
      </w:r>
      <w:r w:rsidDel="00000000" w:rsidR="00000000" w:rsidRPr="00000000">
        <w:rPr>
          <w:rFonts w:ascii="Times New Roman" w:cs="Times New Roman" w:eastAsia="Times New Roman" w:hAnsi="Times New Roman"/>
          <w:sz w:val="24"/>
          <w:szCs w:val="24"/>
          <w:rtl w:val="0"/>
        </w:rPr>
        <w:t xml:space="preserve"> Increased global energy demand will lead to higher sales and profitability, positively affecting CRC’s valuation.</w:t>
      </w:r>
    </w:p>
    <w:p w:rsidR="00000000" w:rsidDel="00000000" w:rsidP="00000000" w:rsidRDefault="00000000" w:rsidRPr="00000000" w14:paraId="00000218">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Finviz</w:t>
      </w:r>
    </w:p>
    <w:p w:rsidR="00000000" w:rsidDel="00000000" w:rsidP="00000000" w:rsidRDefault="00000000" w:rsidRPr="00000000" w14:paraId="000002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Yahoo Finance</w:t>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