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LOPES D OLIVEIRA Ophélie</w:t>
        <w:tab/>
        <w:tab/>
        <w:tab/>
        <w:tab/>
        <w:tab/>
        <w:tab/>
        <w:tab/>
        <w:tab/>
        <w:tab/>
        <w:t xml:space="preserve">18.12.2018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ygv78rzgwoa3" w:id="0"/>
      <w:bookmarkEnd w:id="0"/>
      <w:r w:rsidDel="00000000" w:rsidR="00000000" w:rsidRPr="00000000">
        <w:rPr>
          <w:rtl w:val="0"/>
        </w:rPr>
        <w:t xml:space="preserve">TD Machine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Pour pouvoir faire ce TD, j’ai repris les formules faite en cours pour la  méthode GLM.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J’ai choisi de comparer la méthode GLM avec la méthode RF.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i55qymo38ay" w:id="1"/>
      <w:bookmarkEnd w:id="1"/>
      <w:r w:rsidDel="00000000" w:rsidR="00000000" w:rsidRPr="00000000">
        <w:rPr>
          <w:rtl w:val="0"/>
        </w:rPr>
        <w:t xml:space="preserve">Méthode Generalized linear model (GLM)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pistz3z04zf" w:id="2"/>
      <w:bookmarkEnd w:id="2"/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Le modèle linéaire généralisé qui s’inspire de la régression linéaire pour réaliser un modèle linéaire.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La méthode GLM a pour avantage d’être facile à interpréter et à implémenter, cependant, elle a pour inconvénient de “sous-apprendre” les données, de ne pas capturer la complexité dans les données et qu’il s’agit d’une méthode paramétrique.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f2gmigf4hm2" w:id="3"/>
      <w:bookmarkEnd w:id="3"/>
      <w:r w:rsidDel="00000000" w:rsidR="00000000" w:rsidRPr="00000000">
        <w:rPr>
          <w:rtl w:val="0"/>
        </w:rPr>
        <w:t xml:space="preserve">Réalisation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Pour réaliser cette partie, j’ai repris les éléments vu en cours, donc un paramétrage avec 10 boites. (Voir annexe - Source R)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1dzfpk4qkha8" w:id="4"/>
      <w:bookmarkEnd w:id="4"/>
      <w:r w:rsidDel="00000000" w:rsidR="00000000" w:rsidRPr="00000000">
        <w:rPr>
          <w:rtl w:val="0"/>
        </w:rPr>
        <w:t xml:space="preserve">Résultat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24019" cy="212261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019" cy="212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13806" cy="192258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806" cy="192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501837" cy="66528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837" cy="665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511913" cy="78300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913" cy="783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voit donc qu’il y a eu: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46 non spam prédit qui était en réalité des spam soit 5%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27 spam prédit qui n’était pas des spams soit 3%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530 prédiction de non spam correctes soit 58%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316 spam correctes soit 34%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111738" cy="3733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1738" cy="37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observe donc un taux d’erreur de 7,9%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739fb7ycx9xq" w:id="5"/>
      <w:bookmarkEnd w:id="5"/>
      <w:r w:rsidDel="00000000" w:rsidR="00000000" w:rsidRPr="00000000">
        <w:rPr>
          <w:rtl w:val="0"/>
        </w:rPr>
        <w:t xml:space="preserve">Méthode Random Forest (RF)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quop49ep8o00" w:id="6"/>
      <w:bookmarkEnd w:id="6"/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méthode Random Forest ou Forêt d’Arbres décisionnels est une technique d’apprentissage automatique. Cet algorithme combine les concepts de sous-espaces aléatoire et de Bootstrap (technique de rééchantillonnage).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méthode Random Forest a pour avantage de ne nécessiter quasiment aucun réglage, de contrôler la variance grâce à au ré-échantillonnage aléatoire et d’être une méthode non paramétrique. Cependant, cette méthode est modérément rapide à entraîner, mais rapide pour prédire et qu’il est moins interprétables</w:t>
        <w:tab/>
        <w:t xml:space="preserve"> que les arbres de décision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15zrdr7mty21" w:id="7"/>
      <w:bookmarkEnd w:id="7"/>
      <w:r w:rsidDel="00000000" w:rsidR="00000000" w:rsidRPr="00000000">
        <w:rPr>
          <w:rtl w:val="0"/>
        </w:rPr>
        <w:t xml:space="preserve">Réalisation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402684" cy="18778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684" cy="187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27047" cy="24779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047" cy="247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546014" cy="7319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6014" cy="73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407926" cy="79863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926" cy="79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voit qu’il y a: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541 spam correct soit 59%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 non spam qui était en réalité des spams soit 3%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spam qui était des non spam soit 2%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331 spam correct soit 36%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968863" cy="28700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863" cy="287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Il y a un taux d’erreur de 5,1%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topoxw2nh62k" w:id="8"/>
      <w:bookmarkEnd w:id="8"/>
      <w:r w:rsidDel="00000000" w:rsidR="00000000" w:rsidRPr="00000000">
        <w:rPr>
          <w:rtl w:val="0"/>
        </w:rPr>
        <w:t xml:space="preserve">Comparaison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Au niveau de la prédiction: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6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7.3333333333335"/>
        <w:gridCol w:w="3587.3333333333335"/>
        <w:gridCol w:w="3587.3333333333335"/>
        <w:tblGridChange w:id="0">
          <w:tblGrid>
            <w:gridCol w:w="3587.3333333333335"/>
            <w:gridCol w:w="3587.3333333333335"/>
            <w:gridCol w:w="3587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Spam observé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Spam observé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Spam prédit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37%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6aa84f"/>
                <w:rtl w:val="0"/>
              </w:rPr>
              <w:t xml:space="preserve">36%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ff0000"/>
                <w:rtl w:val="0"/>
              </w:rPr>
              <w:t xml:space="preserve">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6aa84f"/>
                <w:rtl w:val="0"/>
              </w:rPr>
              <w:t xml:space="preserve">2%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ff0000"/>
                <w:rtl w:val="0"/>
              </w:rPr>
              <w:t xml:space="preserve">3%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spam prédit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6aa84f"/>
                <w:rtl w:val="0"/>
              </w:rPr>
              <w:t xml:space="preserve">3%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ff0000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63%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6aa84f"/>
                <w:rtl w:val="0"/>
              </w:rPr>
              <w:t xml:space="preserve">59%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ff0000"/>
                <w:rtl w:val="0"/>
              </w:rPr>
              <w:t xml:space="preserve">58%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 noir : réalité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rouge: méthode GLM</w:t>
      </w:r>
    </w:p>
    <w:p w:rsidR="00000000" w:rsidDel="00000000" w:rsidP="00000000" w:rsidRDefault="00000000" w:rsidRPr="00000000" w14:paraId="00000039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en vert : méthode RF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On remarque que la méthode RF possède des taux plus proche de la réalité que la méthode GLM, cela peut notamment se voir par le taux d’erreur qui est de 5,1% pour la méthode RF et 7,9 pour la méthode GLM.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azjabt3ft615" w:id="9"/>
      <w:bookmarkEnd w:id="9"/>
      <w:r w:rsidDel="00000000" w:rsidR="00000000" w:rsidRPr="00000000">
        <w:rPr>
          <w:rtl w:val="0"/>
        </w:rPr>
        <w:t xml:space="preserve">Annexe : Fichier 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##CHARGEMENT DES DONNEES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#On charge les librairies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library(kernlab)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library(caret)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library(tidyverse)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#On charge les donnees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data(spam)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View(spam)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#On génère une graine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set.seed(100)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#On enregistre les donnée test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ind_train &lt;- createDataPartition(spam$type,p=0.8,list=F)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length(ind_train)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head(ind_train)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##CREATION DES DONNEES D ENTRAINEMENT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#on assigne la matrice spam qui contient toutes les lignes qui sont dans ind-train et toutes les colonnes de spam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Dtrain&lt;-spam[ind_train,]; dim(Dtrain)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#Creer la table des indices de test à partir de toutes les données qui sont pas dans Dtrain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Dtest&lt;-spam[-ind_train,]; dim(Dtest)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#paramètre d'apprentissage pour la validation croisée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param_train&lt;-trainControl(method="cv",number=10)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##METHODE GLM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##Validation croisee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#on lance la fonction train avec la méthode "glm"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fit_glm&lt;-train(type~.,data=Dtrain,method="glm",trControl=param_train)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#détail des resultats, le taux pour chaque fold, avec le champ resample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fit_glm$resample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#donne le taux moyen de tous les taux d'erreur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fit_glm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#On cree la variable qui contiendra la prediction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pred_glm&lt;-predict(fit_glm,newdata=Dtest)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head(pred_glm)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table(pred_glm)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#Compter le nb de fois où on se trompe quand on utilise les données de test avec mon algo entrainé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#affiche la matric de confusion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table(predite=pred_glm,observee=Dtest$type)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#la moyenne des erreurs sur la variable type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mean(pred_glm!=Dtest$type)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head(Dtest$type) --&gt; affiche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##METHODE RF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##Validation croisee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#on lance la fonction train avec la méthode "rf"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fit_rf&lt;-train(type~.,data=Dtrain,method="rf",trControl=param_train)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#Affichage des taux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fit_rf$resample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#donne le taux moyen de tous les taux d'erreur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fit_rf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#On cree la variable qui contiendra la prediction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pred_rf&lt;-predict(fit_rf,newdata=Dtest)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head(pred_rf)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table(pred_rf)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#Compter le nb de fois où on se trompe quand on utilise les données de test avec mon algo entrainé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#affiche la matric de confusion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table(predite=pred_rf,observee=Dtest$type)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#la moyenne des erreurs sur la variable type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mean(pred_rf!=Dtest$type)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#Afficher les 6 premieres lignes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#on observe qu'il y a 1 erreur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head(Dtest$type)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head(pred_rf)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jc w:val="left"/>
        <w:rPr/>
      </w:pPr>
      <w:bookmarkStart w:colFirst="0" w:colLast="0" w:name="_in040alx3rik" w:id="10"/>
      <w:bookmarkEnd w:id="10"/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(Consulté le 13/12/2018)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https://www.institutdesactuaires.com/global/gene/link.php?doc_id=9419&amp;fg=1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(Consulté le 13/12/2018) </w:t>
      </w:r>
    </w:p>
    <w:p w:rsidR="00000000" w:rsidDel="00000000" w:rsidP="00000000" w:rsidRDefault="00000000" w:rsidRPr="00000000" w14:paraId="0000008A">
      <w:pPr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https://fr.wikipedia.org/wiki/Mod%C3%A8le_lin%C3%A9aire_g%C3%A9n%C3%A9ralis%C3%A9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(Consulté le 13/12/2018)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https://fr.wikipedia.org/wiki/For%C3%AAt_d%27arbres_d%C3%A9cisionnels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425.1968503937008" w:top="425.1968503937008" w:left="566.9291338582677" w:right="578.26771653543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Varela Round" w:cs="Varela Round" w:eastAsia="Varela Round" w:hAnsi="Varela Round"/>
      <w:color w:val="ff0000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Varela Round" w:cs="Varela Round" w:eastAsia="Varela Round" w:hAnsi="Varela Round"/>
      <w:color w:val="38761d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Varela Round" w:cs="Varela Round" w:eastAsia="Varela Round" w:hAnsi="Varela Round"/>
      <w:color w:val="3c78d8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Varela Round" w:cs="Varela Round" w:eastAsia="Varela Round" w:hAnsi="Varela Round"/>
      <w:color w:val="a64d79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Varela Round" w:cs="Varela Round" w:eastAsia="Varela Round" w:hAnsi="Varela Round"/>
      <w:color w:val="e69138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Varela Round" w:cs="Varela Round" w:eastAsia="Varela Round" w:hAnsi="Varela Round"/>
      <w:b w:val="1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Varela Round" w:cs="Varela Round" w:eastAsia="Varela Round" w:hAnsi="Varela Round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hyperlink" Target="https://fr.wikipedia.org/wiki/Mod%C3%A8le_lin%C3%A9aire_g%C3%A9n%C3%A9ralis%C3%A9" TargetMode="External"/><Relationship Id="rId16" Type="http://schemas.openxmlformats.org/officeDocument/2006/relationships/hyperlink" Target="https://www.institutdesactuaires.com/global/gene/link.php?doc_id=9419&amp;fg=1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hyperlink" Target="https://fr.wikipedia.org/wiki/For%C3%AAt_d%27arbres_d%C3%A9cisionnels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